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2.3 Schriftelijke bevestiging bij de jaarrekening (samenstellingsopdracht)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 In NBA-handreiking 1136, hoofdstuk 6.6, staan verschillende manieren voor de accountant om ervoor te zorgen dat het bestuur erkent dat het verantwoordelijk is voor het samengestelde object, bijvoorbeeld de jaarrekening: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mondeling tijdens de rapportbespreking met het bestuur en deze bespreking vastleggen;</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het bestuur ondertekent de concept-jaarrekening als uiting dat het bestuur het daarmee eens is; of</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op grond van Standaard 4410 op zich geen vereiste: een bevestiging bij de jaarrekening.</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Dit is slechts een voorbeeld van een bevestiging bij de jaarrekening. Het voorbeeld is zo nodig aan te passen om de specifieke omstandigheden van de opdracht weer te geven.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(Briefhoofd van de entiteit)</w:t>
      </w:r>
      <w:r>
        <w:rPr>
          <w:b w:val="0"/>
          <w:i w:val="0"/>
          <w:sz w:val="24"/>
          <w:u w:val="none"/>
        </w:rPr>
        <w:t xml:space="preserve"> </w:t>
      </w:r>
    </w:p>
    <w:p>
      <w:pPr>
        <w:spacing w:after="241" w:line="288" w:lineRule="exact"/>
        <w:ind/>
      </w:pPr>
      <w:r>
        <w:rPr>
          <w:b w:val="0"/>
          <w:i w:val="0"/>
          <w:sz w:val="24"/>
          <w:u w:val="none"/>
        </w:rPr>
        <w:t xml:space="preserve">Aan: </w:t>
      </w:r>
      <w:r>
        <w:rPr>
          <w:b w:val="0"/>
          <w:i w:val="0"/>
          <w:sz w:val="24"/>
          <w:u w:val="none"/>
        </w:rPr>
        <w:t xml:space="preserve">Accountant...</w:t>
      </w:r>
      <w:r>
        <w:rPr>
          <w:b w:val="0"/>
          <w:i w:val="0"/>
          <w:sz w:val="24"/>
          <w:u w:val="none"/>
        </w:rPr>
        <w:t xml:space="preserve"> </w:t>
      </w:r>
    </w:p>
    <w:p>
      <w:pPr>
        <w:spacing w:after="241" w:line="288" w:lineRule="exact"/>
        <w:ind/>
      </w:pPr>
      <w:r>
        <w:rPr>
          <w:b w:val="0"/>
          <w:i w:val="0"/>
          <w:sz w:val="24"/>
          <w:u w:val="none"/>
        </w:rPr>
        <w:t xml:space="preserve">... (datum)</w:t>
      </w:r>
      <w:r>
        <w:rPr>
          <w:b w:val="0"/>
          <w:i w:val="0"/>
          <w:sz w:val="24"/>
          <w:u w:val="none"/>
        </w:rPr>
        <w:t xml:space="preserve"> 
</w:t>
      </w:r>
    </w:p>
    <w:p>
      <w:pPr>
        <w:spacing w:after="241" w:line="288" w:lineRule="exact"/>
        <w:ind/>
      </w:pPr>
      <w:r>
        <w:rPr>
          <w:b w:val="0"/>
          <w:i w:val="0"/>
          <w:sz w:val="24"/>
          <w:u w:val="none"/>
        </w:rPr>
        <w:t xml:space="preserve">Betreft: Bevestiging bij de jaarrekening </w:t>
      </w:r>
      <w:r>
        <w:rPr>
          <w:b w:val="0"/>
          <w:i w:val="0"/>
          <w:sz w:val="24"/>
          <w:u w:val="none"/>
        </w:rPr>
        <w:t xml:space="preserve">JJJJ (of voor een gebroken boekjaar: voor het jaar geëindigd op 30 juni JJJJ)</w:t>
      </w:r>
      <w:r>
        <w:rPr>
          <w:b w:val="0"/>
          <w:i w:val="0"/>
          <w:sz w:val="24"/>
          <w:u w:val="none"/>
        </w:rPr>
        <w:t xml:space="preserve"> </w:t>
      </w:r>
    </w:p>
    <w:p>
      <w:pPr>
        <w:spacing w:after="241" w:line="288" w:lineRule="exact"/>
        <w:ind/>
      </w:pPr>
      <w:r>
        <w:rPr>
          <w:b w:val="0"/>
          <w:i w:val="0"/>
          <w:sz w:val="24"/>
          <w:u w:val="none"/>
        </w:rPr>
        <w:t xml:space="preserve">Geachte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 het kader van de aan u verleende opdracht tot het samenstellen van de (geconsolideerde) jaarrekening van </w:t>
      </w:r>
      <w:r>
        <w:rPr>
          <w:b w:val="0"/>
          <w:i w:val="0"/>
          <w:sz w:val="24"/>
          <w:u w:val="none"/>
        </w:rPr>
        <w:t xml:space="preserve">... (naam entiteit)</w:t>
      </w:r>
      <w:r>
        <w:rPr>
          <w:b w:val="0"/>
          <w:i w:val="0"/>
          <w:sz w:val="24"/>
          <w:u w:val="none"/>
        </w:rPr>
        <w:t xml:space="preserve"> (en groepsmaatschappijen) over </w:t>
      </w:r>
      <w:r>
        <w:rPr>
          <w:b w:val="0"/>
          <w:i w:val="0"/>
          <w:sz w:val="24"/>
          <w:u w:val="none"/>
        </w:rPr>
        <w:t xml:space="preserve">JJJJ (of voor een gebroken boekjaar: voor het jaar geëindigd op 30 juni JJJJ)</w:t>
      </w:r>
      <w:r>
        <w:rPr>
          <w:b w:val="0"/>
          <w:i w:val="0"/>
          <w:sz w:val="24"/>
          <w:u w:val="none"/>
        </w:rPr>
        <w:t xml:space="preserve">, bevestigen wij naar ons beste weten en overtuiging het volgende: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Wij erkennen [of Namens de Raad van Bestuur (of overeenkomstig orgaan) erkennen wij] onze verantwoordelijkheid voor het opmaken van de jaarrekening [</w:t>
      </w:r>
      <w:r>
        <w:rPr>
          <w:b/>
          <w:i/>
          <w:sz w:val="24"/>
          <w:u w:val="none"/>
        </w:rPr>
        <w:t xml:space="preserve">optioneel</w:t>
      </w:r>
      <w:r>
        <w:rPr>
          <w:b w:val="0"/>
          <w:i w:val="0"/>
          <w:sz w:val="24"/>
          <w:u w:val="none"/>
        </w:rPr>
        <w:t xml:space="preserve">: </w:t>
      </w:r>
      <w:r>
        <w:rPr>
          <w:b w:val="0"/>
          <w:i/>
          <w:sz w:val="24"/>
          <w:u w:val="none"/>
        </w:rPr>
        <w:t xml:space="preserve">met inachtneming van het beoogde gebruik en de verspreidingskring</w:t>
      </w:r>
      <w:r>
        <w:rPr>
          <w:b w:val="0"/>
          <w:i w:val="0"/>
          <w:sz w:val="24"/>
          <w:u w:val="none"/>
        </w:rPr>
        <w:t xml:space="preserve"> (</w:t>
      </w:r>
      <w:r>
        <w:rPr>
          <w:b w:val="0"/>
          <w:i/>
          <w:sz w:val="24"/>
          <w:u w:val="none"/>
        </w:rPr>
        <w:t xml:space="preserve">alleen van toepassing indien geen sprake is van een statutaire jaarrekening</w:t>
      </w:r>
      <w:r>
        <w:rPr>
          <w:b w:val="0"/>
          <w:i w:val="0"/>
          <w:sz w:val="24"/>
          <w:u w:val="none"/>
        </w:rPr>
        <w:t xml:space="preserve">)] alsmede voor het opstellen van het bestuursverslag, beide in overeenstemming met Titel 9 Boek 2 BW.</w:t>
      </w:r>
      <w:r>
        <w:rPr>
          <w:b w:val="0"/>
          <w:i w:val="0"/>
          <w:sz w:val="24"/>
          <w:u w:val="none"/>
          <w:vertAlign w:val="superscript"/>
        </w:rPr>
        <w:footnoteReference w:customMarkFollows="off" w:id="1"/>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Wij hebben u toegang verschaft tot de gehele financiële administratie, de daarbij behorende bescheiden en tot alle notulen van de algemene vergaderingen en van de vergaderingen van de raad van commissarissen en de directie.</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Wij hebben u alle gegevens verschaft met betrekking tot:
	</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informatie over eventuele claims en rechtszaken;</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belangrijke schulden of mogelijke of voorwaardelijke activa of passiva die dienen te worden verantwoord of toegelicht;</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gebeurtenissen die hebben plaatsgevonden na jaareinde en die de huidige financiële positie in belangrijke mate doen afwijken van hetgeen uit de balans van die datum blijkt of die een verandering of toelichting noodzakelijk maken in de jaarrekening;</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verliezen die resulteren uit het al of niet nakomen van verkoopovereenkomsten;</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verliezen die resulteren uit koopverplichtingen van voorraden boven de normale behoefte of tegen prijzen die hoger zijn dan de gangbare marktprijzen;</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transacties met verbonden partijen en de daaruit voortvloeiende vorderingen of schulden, met inbegrip van verkopen, aankopen, leningen, betalingen, lease-overeenkomsten en garantieverplichtingen;</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opties of overeenkomsten met betrekking tot de inkoop en vervreemding van eigen aandelen of aandelenkapitaal dat gereserveerd is voor opties, warrants, conversies of andere verplichtingen;</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overeenkomsten met financiële instellingen betreffende compensatie van saldi of andere overeenkomsten met beperkende bepalingen betreffende kas- en banksaldi, kredietfaciliteiten of andere overeenkomsten van vergelijkbare strekking;</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overeenkomsten met recht of plicht van terugkoop van eerder verkochte activa.</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Wij hebben geen voornemens die een invloed van materieel belang zouden kunnen hebben op de huidige boekwaarde van de activa en passiva zoals opgenomen in de jaarrekening, dan wel op de rubricering daarvan.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Het economisch eigendom van de activa berust bij de vennootschap. Er zijn geen andere pand- of hypotheekrechten gevestigd op de activa van de vennootschap, dan die welke zijn vermeld in de toelichting van de jaarrekening [onder punt X].</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De onderneming heeft voldaan aan alle bepalingen en overeenkomsten die een belangrijke invloed zouden kunnen hebben op de jaarrekening.</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t>
      </w:r>
      <w:r>
        <w:rPr>
          <w:b/>
          <w:i/>
          <w:sz w:val="24"/>
          <w:u w:val="none"/>
        </w:rPr>
        <w:t xml:space="preserve">Optioneel, een besloten vennootschap en ingeval van een voorgestelde dividenduitkering:</w:t>
      </w:r>
      <w:r>
        <w:rPr>
          <w:b w:val="0"/>
          <w:i w:val="0"/>
          <w:sz w:val="24"/>
          <w:u w:val="none"/>
        </w:rPr>
        <w:t xml:space="preserve"> Met betrekking tot het voorstel voor de resultaatbestemming zoals vermeld in de toelichting op de jaarrekening bevestigen wij u dat de voorgestelde dividenduitkering, op basis van onze inzichten per heden en de ons per heden ter beschikking staande </w:t>
      </w:r>
      <w:r>
        <w:rPr>
          <w:b w:val="0"/>
          <w:i w:val="0"/>
          <w:sz w:val="24"/>
          <w:u w:val="none"/>
        </w:rPr>
        <w:t xml:space="preserve">informatie</w:t>
      </w:r>
      <w:r>
        <w:rPr>
          <w:b w:val="0"/>
          <w:i w:val="0"/>
          <w:sz w:val="24"/>
          <w:u w:val="none"/>
          <w:vertAlign w:val="superscript"/>
        </w:rPr>
        <w:footnoteReference w:customMarkFollows="off" w:id="2"/>
      </w:r>
      <w:r>
        <w:rPr>
          <w:b w:val="0"/>
          <w:i w:val="0"/>
          <w:sz w:val="24"/>
          <w:u w:val="none"/>
        </w:rPr>
        <w:t xml:space="preserve">, toelaatbaar is en niet tot gevolg zal hebben dat de vennootschap na het doen van de voorgestelde uitkering niet zal kunnen voortgaan met het betalen van haar opeisbare schulden en dat ook niet is te voorzien dat de vennootschap na de uitkering in die situatie zal komen te verkeren. Wij bevestigen dat het in de jaarrekening verwerkte dividendvoorstel een voorwaardelijk karakter heeft en dat de hoogte van het uiteindelijk uit te keren dividend afhankelijk is van een te zijner tijd uit te voeren balanstest en uitkeringstoets.]</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Wij bevestigen dat wij instemmen met de door u samengestelde jaarrekening over onderhavig boekjaar.</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Opdrachtgever</w:t>
      </w:r>
      <w:r>
        <w:rPr>
          <w:b w:val="0"/>
          <w:i w:val="0"/>
          <w:sz w:val="24"/>
          <w:u w:val="none"/>
        </w:rPr>
        <w:t xml:space="preserve"> </w:t>
      </w:r>
    </w:p>
    <w:p>
      <w:pPr>
        <w:spacing w:after="241" w:line="288" w:lineRule="exact"/>
        <w:ind/>
      </w:pPr>
      <w:r>
        <w:rPr>
          <w:b w:val="0"/>
          <w:i w:val="0"/>
          <w:sz w:val="24"/>
          <w:u w:val="none"/>
        </w:rPr>
        <w:t xml:space="preserve">Algemeen directeur
</w:t>
      </w:r>
    </w:p>
    <w:p>
      <w:pPr>
        <w:spacing w:after="241" w:line="288" w:lineRule="exact"/>
        <w:ind/>
      </w:pPr>
      <w:r>
        <w:rPr>
          <w:b w:val="0"/>
          <w:i w:val="0"/>
          <w:sz w:val="24"/>
          <w:u w:val="none"/>
        </w:rPr>
        <w:t xml:space="preserve">Financieel directeur
</w:t>
      </w:r>
    </w:p>
    <w:p>
      <w:pPr>
        <w:spacing w:after="241" w:line="288" w:lineRule="exact"/>
        <w:ind/>
      </w:pPr>
      <w:r>
        <w:rPr>
          <w:b w:val="0"/>
          <w:i/>
          <w:sz w:val="24"/>
          <w:u w:val="none"/>
        </w:rPr>
        <w:t xml:space="preserve">[</w:t>
      </w:r>
      <w:r>
        <w:rPr>
          <w:b/>
          <w:i/>
          <w:sz w:val="24"/>
          <w:u w:val="none"/>
        </w:rPr>
        <w:t xml:space="preserve">Optioneel: </w:t>
      </w:r>
      <w:r>
        <w:rPr>
          <w:b w:val="0"/>
          <w:i/>
          <w:sz w:val="24"/>
          <w:u w:val="none"/>
        </w:rPr>
        <w:t xml:space="preserve">cc: Auditcommissie]</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Invullen het geldende stelsel inzake financiële verslaggeving: ook bij entiteiten met een andere rechtsvorm dan BV/NV komt Titel 9 Boek 2 BW in aanmerking, zie http://www.accountant.nl/vaktechniek/2012/10/samenstellingsverklaringen/.</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Het ligt voor de hand dat als het bestuur een voorstel tot uitkering doet in de jaarrekening dat het bestuur dan ook zal toetsen of dit mogelijk is. Bij de daadwerkelijke uitkeringstoets op het moment van uitbetaling zou het mogelijk kunnen zijn dat de situatie dan is gewijzigd.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EAB0300"/>
    <w:multiLevelType w:val="hybridMultilevel"/>
    <w:tmpl w:val="EFAB0300"/>
    <w:lvl w:ilvl="0" w:tplc="F0AB0300">
      <w:start w:val="1"/>
      <w:numFmt w:val="bullet"/>
      <w:lvlText w:val="-"/>
      <w:lvlJc w:val="left"/>
      <w:pPr>
        <w:ind w:left="0"/>
      </w:pPr>
      <w:rPr>
        <w:sz w:val="24"/>
      </w:rPr>
    </w:lvl>
  </w:abstractNum>
  <w:abstractNum w:abstractNumId="2">
    <w:nsid w:val="F1AB0300"/>
    <w:multiLevelType w:val="hybridMultilevel"/>
    <w:tmpl w:val="F2AB0300"/>
    <w:lvl w:ilvl="0" w:tplc="F3AB0300">
      <w:start w:val="1"/>
      <w:numFmt w:val="decimal"/>
      <w:lvlText w:val="%1."/>
      <w:lvlJc w:val="left"/>
      <w:pPr>
        <w:ind w:left="0"/>
      </w:pPr>
      <w:rPr/>
    </w:lvl>
  </w:abstractNum>
  <w:abstractNum w:abstractNumId="3">
    <w:nsid w:val="F4AB0300"/>
    <w:multiLevelType w:val="hybridMultilevel"/>
    <w:tmpl w:val="F5AB0300"/>
    <w:lvl w:ilvl="0" w:tplc="F6AB0300">
      <w:start w:val="1"/>
      <w:numFmt w:val="decimal"/>
      <w:lvlText w:val="%1."/>
      <w:lvlJc w:val="left"/>
      <w:pPr>
        <w:ind w:left="0"/>
      </w:pPr>
      <w:rPr/>
    </w:lvl>
    <w:lvl w:ilvl="1" w:tplc="F7AB0300">
      <w:start w:val="1"/>
      <w:numFmt w:val="bullet"/>
      <w:lvlText w:val="-"/>
      <w:lvlJc w:val="left"/>
      <w:pPr>
        <w:ind w:left="0"/>
      </w:pPr>
      <w:rPr>
        <w:sz w:val="24"/>
      </w:rPr>
    </w:lvl>
  </w:abstractNum>
  <w:num w:numId="1">
    <w:abstractNumId w:val="1"/>
  </w:num>
  <w:num w:numId="2">
    <w:abstractNumId w:val="2"/>
  </w:num>
  <w:num w:numId="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2024-09-16T19:58:40Z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