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3.2A  Toestemmingsbrief openbaarmaking controleverklaring op papier cliënt in door cliënt opgestelde jaarstukken - beursgenoteerde oob</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 Deze voorbeeldbrief toestemming openbaarmaking is bedoeld voor de openbaarmaking van jaarstukken van ondernemingen waarvan effecten (bijvoorbeeld aandelen en/of obligaties) zijn toegelaten tot de handel op een EU-gereglementeerde markt en die in Nederland hun zetel hebben. Deze voorbeeldbrief is niet bedoeld voor beursgenoteerde open-end beleggingsinstellingen en icbe's.
</w:t>
      </w:r>
    </w:p>
    <w:p>
      <w:pPr>
        <w:spacing w:after="241" w:line="288" w:lineRule="exact"/>
        <w:ind/>
      </w:pPr>
      <w:r>
        <w:rPr>
          <w:b w:val="0"/>
          <w:i w:val="0"/>
          <w:sz w:val="24"/>
          <w:u w:val="none"/>
        </w:rPr>
        <w:t xml:space="preserve">De jaarstukken ('jaarlijkse financiële verslaggeving', bestaande uit: de door de accountant gecontroleerde jaarrekening, het bestuursverslag en de overige gegevens, alsmede de verantwoordingsverklaring en een beschrijving van de voornaamste risico's en onzekerheden) worden binnen vier maanden na afloop van het boekjaar algemeen verkrijgbaar gesteld (artikel 5:25c Wft) en toegezonden aan de AFM (artikel 5:25m Wft). Dit is alleen van toepassing wanneer de entiteit effecten met aandelenkarakter heeft uitgegeven of de uitgegeven effecten zonder aandelenkarakter een couponwaarde kleiner dan EUR 100.000 (of EUR 50.000, indien al uitgegeven vóór 31 december 2010) hebben (vrijgesteld in art. 5:25g, leden 2 en 3 Wft).
</w:t>
      </w:r>
    </w:p>
    <w:p>
      <w:pPr>
        <w:spacing w:after="241" w:line="288" w:lineRule="exact"/>
        <w:ind/>
      </w:pPr>
      <w:r>
        <w:rPr>
          <w:b w:val="0"/>
          <w:i w:val="0"/>
          <w:sz w:val="24"/>
          <w:u w:val="none"/>
        </w:rPr>
        <w:t xml:space="preserve">Binnen vijf dagen na vaststelling van de jaarrekening zendt de onderneming de jaarrekening, het jaarverslag en de overige gegevens aan de AFM. De AFM zendt deze stukken binnen drie dagen na ontvangst aan het handelsregister (artikel 5:25o Wft). Hier geldt niet de vrijstelling zoals in de vorige alinea beschreven.
</w:t>
      </w:r>
    </w:p>
    <w:p>
      <w:pPr>
        <w:spacing w:after="241" w:line="288" w:lineRule="exact"/>
        <w:ind/>
      </w:pPr>
      <w:r>
        <w:rPr>
          <w:b w:val="0"/>
          <w:i w:val="0"/>
          <w:sz w:val="24"/>
          <w:u w:val="none"/>
        </w:rPr>
        <w:t xml:space="preserve">Om misbruik van handtekeningen te voorkomen dient de controleverklaring bij stukken die openbaar worden gemaakt, niet te worden voorzien van een persoonlijke handtekening.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Geachte ... (geadresseerde),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bevestigen u ermee akkoord te gaan dat u de hiernavolgende controleverklaring opneemt en openbaar maakt in de sectie 'Overige gegevens' van de jaarstukken. Deze jaarstukken dienen te worden uitgebracht overeenkomstig het aan ons voorgelegde definitieve concept [</w:t>
      </w:r>
      <w:r>
        <w:rPr>
          <w:b/>
          <w:i/>
          <w:sz w:val="24"/>
          <w:u w:val="none"/>
        </w:rPr>
        <w:t xml:space="preserve">Optioneel</w:t>
      </w:r>
      <w:r>
        <w:rPr>
          <w:b w:val="0"/>
          <w:i/>
          <w:sz w:val="24"/>
          <w:u w:val="none"/>
        </w:rPr>
        <w:t xml:space="preserve">: of de laatste drukproef rekening houdend met de aangegeven wijzigingen</w:t>
      </w:r>
      <w:r>
        <w:rPr>
          <w:b w:val="0"/>
          <w:i w:val="0"/>
          <w:sz w:val="24"/>
          <w:u w:val="none"/>
        </w:rPr>
        <w:t xml:space="preserve">], waarvan een gewaarmerkt exemplaar is bijgevoegd. Wij benadrukken dat het niet is toegestaan om het gewaarmerkte exemplaar van de jaarstukken openbaar te maken.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één exemplaar (dit kunnen er ook meer zijn) van de controleverklaring voorzien van een originele handtekening. Dit exemplaar is ten behoeve van uw eigen archief (bij meerdere getekende exemplaren: ten behoeve van eigen gebruik).</w:t>
      </w:r>
      <w:r>
        <w:rPr>
          <w:b w:val="0"/>
          <w:i w:val="0"/>
          <w:sz w:val="24"/>
          <w:u w:val="none"/>
        </w:rPr>
        <w:t xml:space="preserve"> </w:t>
      </w:r>
    </w:p>
    <w:p>
      <w:pPr>
        <w:spacing w:after="241" w:line="288" w:lineRule="exact"/>
        <w:ind/>
      </w:pPr>
    </w:p>
    <w:p>
      <w:pPr>
        <w:spacing w:after="241" w:line="288" w:lineRule="exact"/>
        <w:ind/>
      </w:pPr>
      <w:r>
        <w:rPr>
          <w:b/>
          <w:i w:val="0"/>
          <w:sz w:val="24"/>
          <w:u w:val="none"/>
        </w:rPr>
        <w:t xml:space="preserve">CONTROLEVERKLARING VAN DE ONAFHANKELIJKE ACCOUNTANT</w:t>
      </w:r>
      <w:r>
        <w:rPr>
          <w:b w:val="0"/>
          <w:i w:val="0"/>
          <w:sz w:val="24"/>
          <w:u w:val="none"/>
        </w:rPr>
        <w:t xml:space="preserve"> </w:t>
      </w:r>
    </w:p>
    <w:p>
      <w:pPr>
        <w:spacing w:after="241" w:line="288" w:lineRule="exact"/>
        <w:ind/>
      </w:pPr>
      <w:r>
        <w:rPr>
          <w:b w:val="0"/>
          <w:i w:val="0"/>
          <w:sz w:val="24"/>
          <w:u w:val="none"/>
        </w:rPr>
        <w:t xml:space="preserve">[</w:t>
      </w:r>
      <w:r>
        <w:rPr>
          <w:b w:val="0"/>
          <w:i/>
          <w:sz w:val="24"/>
          <w:u w:val="none"/>
        </w:rPr>
        <w:t xml:space="preserve">Tekst van de controleverklaring toe te voegen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opgemaakte jaarstukken, zoals bedoeld in de Wet op het financieel toezicht (Wft) </w:t>
      </w:r>
      <w:r>
        <w:rPr>
          <w:b w:val="0"/>
          <w:i w:val="0"/>
          <w:sz w:val="24"/>
          <w:u w:val="none"/>
        </w:rPr>
        <w:t xml:space="preserve">artikel 5:25c, dienen binnen vier maanden</w:t>
      </w:r>
      <w:r>
        <w:rPr>
          <w:b w:val="0"/>
          <w:i w:val="0"/>
          <w:sz w:val="24"/>
          <w:u w:val="none"/>
        </w:rPr>
        <w:t xml:space="preserve"> na afloop van het boekjaar algemeen verkrijgbaar te worden gesteld.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Gelijktijdig dienen deze jaarstukken te worden toegezonden aan de Autoriteit Financiële Markten (artikel 5:25m Wft).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Binnen vijf dagen na vaststelling door de algemene vergadering moeten jaarstukken, zoals bedoeld in artikel 5:25o Wft, worden toegezonden aan de Autoriteit Financiële Markten. De Autoriteit Financiële Markten zendt deze stukken binnen drie dagen na ontvangst aan het handelsregister.</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Overigens wijzen wij erop dat, indien tot de algemene vergadering omstandigheden blijken die aanpassing van de jaarrekening noodzakelijk maken, een dergelijke aanpassing nog voor de algemene vergadering moet worden gemaakt op grond van het bepaalde in artikel 2:362 lid 6 en artikel 2:380a BW. Uiteraard vervalt in die situatie onze bovengenoemde toestemming.</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Alle leden van het bestuur en van de raad van commissarissen ondertekenen een exemplaar van de jaarrekening. Wanneer een handtekening ontbreekt, staat de reden daarvoor in de te deponeren jaarstukken. Om fraude met handtekeningen te vermijden ontraden wij het deponeren van ondertekende jaarstukken. De te deponeren jaarstukken vermelden verder de datum waarop de algemene vergadering de jaarrekening heeft vastgesteld.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u deze jaarstukken waaronder de door de accountant gecontroleerde jaarrekening opneemt op Internet,</w:t>
      </w:r>
      <w:r>
        <w:rPr>
          <w:b w:val="0"/>
          <w:i w:val="0"/>
          <w:sz w:val="24"/>
          <w:u w:val="none"/>
        </w:rPr>
        <w:t xml:space="preserve"> dient u te waarborgen dat de jaarstukken goed zijn afgescheiden van andere informatie op de Internet-site. Afscheiding kan bijvoorbeeld plaatsvinden door de jaarstukken in niet-bewerkbare vorm als een afzonderlijk bestand op te nemen of door een waarschuwing op te nemen indien de lezer de jaarstukken verlaat ('u verlaat de beveiligde jaarstukken, waaronder de door de accountant gecontroleerde jaarrekening').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 bij een besloten vennootschap en ingeval van een voorgestelde dividenduitkering:</w:t>
      </w:r>
      <w:r>
        <w:rPr>
          <w:b w:val="0"/>
          <w:i/>
          <w:sz w:val="24"/>
          <w:u w:val="none"/>
        </w:rPr>
        <w:t xml:space="preserve"> Voorts wijzen wij u erop dat per de datum van betaalbaarstelling van het dividend het bestuur dient te beoordelen, met inachtneming van de informatie die op dat moment beschikbaar is, of de vennootschap na de uitkering kan voortgaan met het betalen van haar opeisbare schulden. Indien de uitkering plaatsvindt en later zou blijken dat de vennootschap na en door de uitkering niet kan voortgaan met het betalen van haar opeisbare schulden, dan kunnen de bestuurders hoofdelijk aansprakelijk worden gesteld voor vergoeding aan de vennootschap van het tekort dat door de uitkering ontstaat, indien zij op het moment van betaalbaarstelling wisten of hadden behoren te voorzien dat deze situatie door de uitkering zou ontstaan.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 </w:t>
      </w:r>
      <w:r>
        <w:rPr>
          <w:b w:val="0"/>
          <w:i/>
          <w:sz w:val="24"/>
          <w:u w:val="none"/>
        </w:rPr>
        <w:t xml:space="preserve">Indien de ondernemingsleiding volstaat met het publiceren van de verklaring inzake corporate governance op internet zou de volgende tekst kunnen worden opgenomen: 'U hebt besloten de verklaring inzake corporate governance die volgt uit het 'Besluit inhoud bestuursverslag' op te nemen op internet en in het bestuursverslag over boekjaar ...(boekjaar) te volstaan met een verwijzing daarnaar. Wij wijzen u op uw verantwoordelijkheid te waarborgen dat deze verklaring op internet goed is afgescheiden van andere informatie op de website en ongewijzigd beschikbaar blijft gedurende de wettelijke bewaartermijnen die ook van kracht zijn voor de jaarrekening, het bestuursverslag en de overige gegevens. Bovengenoemde toestemming tot het gebruik van onze controleverklaring bij de jaarrekening vervalt indien aan deze voorwaarden niet is voldaan, dit gegeven de onderlinge samenhang tussen genoemde stukken.'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Verwijder alinea wanneer de entiteit effecten zonder aandelenkarakter met een couponwaarde groter dan EUR 100.000 (of EUR 50.000, indien al uitgegeven vóór 31 december 2010) heeft uitgegeven. Zie NB-tekst.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Verwijder alinea wanneer de jaarrekening wordt opgemaakt o.b.v. EU-IFRS, incl. combinatie 3 of 4, en dus excl. combinatie 2 (zie RJ 160.202a).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2024-09-16T20:06:23Z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