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3.2B  Toestemmingsbrief openbaarmaking controleverklaring op papier cliënt in door cliënt opgestelde jaarstukken - open-end abi of icbe</w:t>
      </w:r>
      <w:r>
        <w:rPr>
          <w:b w:val="0"/>
          <w:i w:val="0"/>
          <w:sz w:val="24"/>
          <w:u w:val="none"/>
        </w:rPr>
        <w:t xml:space="preserve"> </w:t>
      </w:r>
    </w:p>
    <w:p>
      <w:pPr>
        <w:spacing w:after="241" w:line="288" w:lineRule="exact"/>
        <w:ind/>
      </w:pPr>
      <w:r>
        <w:rPr>
          <w:b w:val="0"/>
          <w:i w:val="0"/>
          <w:sz w:val="24"/>
          <w:u w:val="none"/>
        </w:rPr>
        <w:t xml:space="preserve">NB: Deze voorbeeldbrief toestemming openbaarmaking is bedoeld voor de openbaarmaking van jaarstukken van open-end beleggingsinstelling (abi) of icbe die in Nederland hun zetel hebben (ongeacht of effecten zijn uitgegeven die zijn toegelaten tot de handel op een EU-gereglementeerde markt). Deze voorbeeldbrief is niet bedoeld voor beursgenoteerde closed-end beleggingsinstellingen.
</w:t>
      </w:r>
    </w:p>
    <w:p>
      <w:pPr>
        <w:spacing w:after="241" w:line="288" w:lineRule="exact"/>
        <w:ind/>
      </w:pPr>
      <w:r>
        <w:rPr>
          <w:b w:val="0"/>
          <w:i w:val="0"/>
          <w:sz w:val="24"/>
          <w:u w:val="none"/>
        </w:rPr>
        <w:t xml:space="preserve">Om misbruik van handtekeningen te voorkomen dient de controleverklaring bij stukken die openbaar worden gemaakt, niet te worden voorzien van een persoonlijke handtekening.</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_____________________________________________________________________________</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r>
        <w:rPr>
          <w:b w:val="0"/>
          <w:i w:val="0"/>
          <w:sz w:val="24"/>
          <w:u w:val="none"/>
        </w:rPr>
        <w:t xml:space="preserve">Geachte ... (geadresseerde),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bevestigen u ermee akkoord te gaan dat u de hiernavolgende controleverklaring opneemt en openbaar maakt in de sectie 'Overige gegevens' van de jaarstukken. Deze jaarstukken dienen te worden uitgebracht overeenkomstig het aan ons voorgelegde definitieve concept [</w:t>
      </w:r>
      <w:r>
        <w:rPr>
          <w:b/>
          <w:i/>
          <w:sz w:val="24"/>
          <w:u w:val="none"/>
        </w:rPr>
        <w:t xml:space="preserve">Optioneel</w:t>
      </w:r>
      <w:r>
        <w:rPr>
          <w:b w:val="0"/>
          <w:i/>
          <w:sz w:val="24"/>
          <w:u w:val="none"/>
        </w:rPr>
        <w:t xml:space="preserve">: of de laatste drukproef rekening houdend met de aangegeven wijzigingen</w:t>
      </w:r>
      <w:r>
        <w:rPr>
          <w:b w:val="0"/>
          <w:i w:val="0"/>
          <w:sz w:val="24"/>
          <w:u w:val="none"/>
        </w:rPr>
        <w:t xml:space="preserve">], waarvan een gewaarmerkt exemplaar is bijgevoegd. Wij benadrukken dat het niet is toegestaan om het gewaarmerkte exemplaar van de jaarstukken openbaar te maken.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hebben één exemplaar (dit kunnen er ook meer zijn) van de controleverklaring voorzien van een originele handtekening. Dit exemplaar is ten behoeve van uw eigen archief (bij meerdere getekende exemplaren: ten behoeve van eigen gebruik).</w:t>
      </w:r>
      <w:r>
        <w:rPr>
          <w:b w:val="0"/>
          <w:i w:val="0"/>
          <w:sz w:val="24"/>
          <w:u w:val="none"/>
        </w:rPr>
        <w:t xml:space="preserve"> </w:t>
      </w:r>
    </w:p>
    <w:p>
      <w:pPr>
        <w:spacing w:after="241" w:line="288" w:lineRule="exact"/>
        <w:ind/>
      </w:pPr>
    </w:p>
    <w:p>
      <w:pPr>
        <w:spacing w:after="241" w:line="288" w:lineRule="exact"/>
        <w:ind/>
      </w:pPr>
      <w:r>
        <w:rPr>
          <w:b/>
          <w:i w:val="0"/>
          <w:sz w:val="24"/>
          <w:u w:val="none"/>
        </w:rPr>
        <w:t xml:space="preserve">CONTROLEVERKLARING VAN DE ONAFHANKELIJKE ACCOUNTANT</w:t>
      </w:r>
      <w:r>
        <w:rPr>
          <w:b w:val="0"/>
          <w:i w:val="0"/>
          <w:sz w:val="24"/>
          <w:u w:val="none"/>
        </w:rPr>
        <w:t xml:space="preserve"> </w:t>
      </w:r>
    </w:p>
    <w:p>
      <w:pPr>
        <w:spacing w:after="241" w:line="288" w:lineRule="exact"/>
        <w:ind/>
      </w:pPr>
      <w:r>
        <w:rPr>
          <w:b w:val="0"/>
          <w:i w:val="0"/>
          <w:sz w:val="24"/>
          <w:u w:val="none"/>
        </w:rPr>
        <w:t xml:space="preserve">[</w:t>
      </w:r>
      <w:r>
        <w:rPr>
          <w:b w:val="0"/>
          <w:i/>
          <w:sz w:val="24"/>
          <w:u w:val="none"/>
        </w:rPr>
        <w:t xml:space="preserve">Tekst van de controleverklaring toe te voegen</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De opgemaakte jaarstukken, zoals bedoeld in de Wet op het financieel toezicht (Wft) </w:t>
      </w:r>
      <w:r>
        <w:rPr>
          <w:b w:val="0"/>
          <w:i w:val="0"/>
          <w:sz w:val="24"/>
          <w:u w:val="none"/>
        </w:rPr>
        <w:t xml:space="preserve">[</w:t>
      </w:r>
      <w:r>
        <w:rPr>
          <w:b/>
          <w:i/>
          <w:sz w:val="24"/>
          <w:u w:val="none"/>
        </w:rPr>
        <w:t xml:space="preserve">voor beleggingsinstellingen</w:t>
      </w:r>
      <w:r>
        <w:rPr>
          <w:b w:val="0"/>
          <w:i w:val="0"/>
          <w:sz w:val="24"/>
          <w:u w:val="none"/>
        </w:rPr>
        <w:t xml:space="preserve">: artikel 4:37o, dienen binnen zes maanden] [</w:t>
      </w:r>
      <w:r>
        <w:rPr>
          <w:b/>
          <w:i/>
          <w:sz w:val="24"/>
          <w:u w:val="none"/>
        </w:rPr>
        <w:t xml:space="preserve">voor icbe’s</w:t>
      </w:r>
      <w:r>
        <w:rPr>
          <w:b w:val="0"/>
          <w:i w:val="0"/>
          <w:sz w:val="24"/>
          <w:u w:val="none"/>
        </w:rPr>
        <w:t xml:space="preserve">: artikel 4:51, dienen binnen vier maanden]</w:t>
      </w:r>
      <w:r>
        <w:rPr>
          <w:b w:val="0"/>
          <w:i w:val="0"/>
          <w:sz w:val="24"/>
          <w:u w:val="none"/>
        </w:rPr>
        <w:t xml:space="preserve"> na afloop van het boekjaar algemeen verkrijgbaar te worden gesteld. </w:t>
      </w:r>
      <w:r>
        <w:rPr>
          <w:b w:val="0"/>
          <w:i w:val="0"/>
          <w:sz w:val="24"/>
          <w:u w:val="none"/>
        </w:rPr>
        <w:t xml:space="preserve">Op grond van [voor beleggingsinstellingen: artikel 115y lid 4 van het Besluit Gedragstoezicht financiële ondernemingen Wft betekent dit dat de beheerder binnen zes maanden] [voor icbe’s: artikel 120 van het Besluit Gedragstoezicht financiële ondernemingen Wft betekent dit dat de beheerder binnen vier maanden] na afloop van het boekjaar een jaarrekening en een bestuursverslag openbaar maakt van de door hem beheerde [voor beleggingsinstelling: beleggingsinstelling] [voor icbe’s: instelling voor collectieve belegging in effecten] door publicatie op zijn website. [voor icbe’s: Gelijktijdig met de publicatie op de website deelt de beheerder in een landelijk verspreid Nederlands dagblad mee dat deelnemers op verzoek bij de beheerder hiervan een kosteloos afschrift kunnen verkrijgen.]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Gelijktijdig dienen deze jaarstukken te worden toegezonden aan de Autoriteit Financiële Markten.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t>
      </w:r>
      <w:r>
        <w:rPr>
          <w:b/>
          <w:i/>
          <w:sz w:val="24"/>
          <w:u w:val="none"/>
        </w:rPr>
        <w:t xml:space="preserve">Voor coöperaties, naamloze vennootschappen en andere rechtspersonen met een deponeringsplicht</w:t>
      </w:r>
      <w:r>
        <w:rPr>
          <w:b w:val="0"/>
          <w:i w:val="0"/>
          <w:sz w:val="24"/>
          <w:u w:val="none"/>
        </w:rPr>
        <w:t xml:space="preserve">: Uiterlijk acht dagen</w:t>
      </w:r>
      <w:r>
        <w:rPr>
          <w:b w:val="0"/>
          <w:i w:val="0"/>
          <w:sz w:val="24"/>
          <w:u w:val="none"/>
        </w:rPr>
        <w:t xml:space="preserve"> na vaststelling van de jaarrekening door de algemene vergadering, maar in elk geval vóór </w:t>
      </w:r>
      <w:r>
        <w:rPr>
          <w:b w:val="0"/>
          <w:i w:val="0"/>
          <w:sz w:val="24"/>
          <w:u w:val="none"/>
        </w:rPr>
        <w:t xml:space="preserve">... (datum deponeringstermijn)</w:t>
      </w:r>
      <w:r>
        <w:rPr>
          <w:b w:val="0"/>
          <w:i w:val="0"/>
          <w:sz w:val="24"/>
          <w:u w:val="none"/>
        </w:rPr>
        <w:t xml:space="preserve"> moeten de te deponeren jaarstukken bij het handelsregister van de Kamer van Koophandel zijn gedeponeerd.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willen u erop wijzen dat (tijdige) deponering van de jaarstukken waaronder de door de accountant gecontroleerde jaarrekening wettelijk verplicht is en dat het niet deponeren bij wet strafbaar is gesteld. In bepaalde gevallen kan het niet deponeren zelfs ertoe leiden dat de bestuurders [</w:t>
      </w:r>
      <w:r>
        <w:rPr>
          <w:b/>
          <w:i/>
          <w:sz w:val="24"/>
          <w:u w:val="none"/>
        </w:rPr>
        <w:t xml:space="preserve">in voorkomend geval</w:t>
      </w:r>
      <w:r>
        <w:rPr>
          <w:b w:val="0"/>
          <w:i w:val="0"/>
          <w:sz w:val="24"/>
          <w:u w:val="none"/>
        </w:rPr>
        <w:t xml:space="preserve">: en de commissarissen] persoonlijk aansprakelijk gesteld worden.</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Overigens wijzen wij erop dat, indien tot de algemene vergadering omstandigheden blijken die aanpassing van de jaarrekening noodzakelijk maken, een dergelijke aanpassing nog voor de algemene vergadering moet worden gemaakt op grond van het bepaalde in artikel 2:362 lid 6 en artikel 2:380a BW. Uiteraard vervalt in die situatie onze bovengenoemde toestemming.</w:t>
      </w:r>
      <w:r>
        <w:rPr>
          <w:b w:val="0"/>
          <w:i w:val="0"/>
          <w:sz w:val="24"/>
          <w:u w:val="none"/>
          <w:vertAlign w:val="superscript"/>
        </w:rPr>
        <w:footnoteReference w:customMarkFollows="off" w:id="1"/>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Alle leden van het bestuur en van de raad van commissarissen ondertekenen een exemplaar van de jaarrekening. Wanneer een handtekening ontbreekt, staat de reden daarvoor in de te deponeren jaarstukken. Om fraude met handtekeningen te vermijden ontraden wij het deponeren van ondertekende jaarstukken. De te deponeren jaarstukken vermelden verder de datum waarop de algemene vergadering de jaarrekening heeft vastgesteld.</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Bij openbaarmaking van deze jaarstukken waaronder de door de accountant gecontroleerde jaarrekening op Internet</w:t>
      </w:r>
      <w:r>
        <w:rPr>
          <w:b w:val="0"/>
          <w:i w:val="0"/>
          <w:sz w:val="24"/>
          <w:u w:val="none"/>
        </w:rPr>
        <w:t xml:space="preserve"> dient u te waarborgen dat de jaarstukken goed zijn afgescheiden van andere informatie op de Internet-site. Afscheiding kan bijvoorbeeld plaatsvinden door de jaarstukken in niet-bewerkbare vorm als een afzonderlijk bestand op te nemen of door een waarschuwing op te nemen indien de lezer de jaarstukken verlaat ('u verlaat de beveiligde jaarstukken, waaronder de door de accountant gecontroleerde jaarrekening').</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Hoogachtend,
</w:t>
      </w: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r>
        <w:rPr>
          <w:b w:val="0"/>
          <w:i w:val="0"/>
          <w:sz w:val="24"/>
          <w:u w:val="none"/>
        </w:rPr>
        <w:t xml:space="preserve">... (naam accountantspraktijk)</w:t>
      </w:r>
      <w:r>
        <w:rPr>
          <w:b w:val="0"/>
          <w:i w:val="0"/>
          <w:sz w:val="24"/>
          <w:u w:val="none"/>
        </w:rPr>
        <w:t xml:space="preserve"> </w:t>
      </w:r>
    </w:p>
    <w:p>
      <w:pPr>
        <w:spacing w:after="241" w:line="288" w:lineRule="exact"/>
        <w:ind/>
      </w:pPr>
      <w:r>
        <w:rPr>
          <w:b w:val="0"/>
          <w:i w:val="0"/>
          <w:sz w:val="24"/>
          <w:u w:val="none"/>
        </w:rPr>
        <w:t xml:space="preserve">... (naam accountant)</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Verwijder alinea wanneer de jaarrekening wordt opgemaakt o.b.v. EU-IFRS, incl. combinatie 3 of 4, en dus excl. combinatie 2 (zie RJ 160.202a).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2024-09-16T19:49:49Z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