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7.0 Collegiaal overleg opdrachtaanvaarding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 1: Goede communicatie tussen opvolgende en voorgaande accountant is van groot belang. Deze voorbeeldbrief kan een bijdrage leveren aan goede communicatie.
</w:t>
      </w:r>
    </w:p>
    <w:p>
      <w:pPr>
        <w:spacing w:after="241" w:line="288" w:lineRule="exact"/>
        <w:ind/>
      </w:pPr>
      <w:r>
        <w:rPr>
          <w:b w:val="0"/>
          <w:i w:val="0"/>
          <w:sz w:val="24"/>
          <w:u w:val="none"/>
        </w:rPr>
        <w:t xml:space="preserve">Hoe specifieker de opvolgende accountant communiceert, des te groter de kans dat de voorgaande accountant navenant reageert.
</w:t>
      </w:r>
    </w:p>
    <w:p>
      <w:pPr>
        <w:spacing w:after="241" w:line="288" w:lineRule="exact"/>
        <w:ind/>
      </w:pPr>
      <w:r>
        <w:rPr>
          <w:b w:val="0"/>
          <w:i w:val="0"/>
          <w:sz w:val="24"/>
          <w:u w:val="none"/>
        </w:rPr>
        <w:t xml:space="preserve">Vermijd een checklist-achtige uitwisseling van standaardbrieven.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 2: Op grond van artikel 15a van de VGBA is collegiaal overleg verplicht voorafgaand aan het aanvaarden van een nieuwe opdracht tot het controleren, beoordelen of samenstellen van historische financiële informatie om na te gaan of er aanleiding is om de opdracht niet te aanvaarden. Dit geldt als een (voorgaande) accountant van een andere accountantspraktijk een dergelijke opdracht in de voorafgaande 24 maanden heeft uitgevoerd, ongeacht het risicoprofiel van de cliënt.
</w:t>
      </w:r>
    </w:p>
    <w:p>
      <w:pPr>
        <w:spacing w:after="241" w:line="288" w:lineRule="exact"/>
        <w:ind/>
      </w:pPr>
      <w:r>
        <w:rPr>
          <w:b w:val="0"/>
          <w:i w:val="0"/>
          <w:sz w:val="24"/>
          <w:u w:val="none"/>
        </w:rPr>
        <w:t xml:space="preserve">NB 3: Collegiaal overleg is niet verplicht indien een accountant al één van deze drie opdrachten uitvoert of heeft uitgevoerd in het voorafgaande boekjaar of indien hij een opdracht overneemt van een andere accountant binnen dezelfde accountantspraktijk. Collegiaal overleg is ook mogelijk in situaties wanneer het niet verplicht is, bijvoorbeeld een andere assurance-opdracht dan controleren of beoordelen van historische financiële informatie, een opdracht tot het verrichten van specifiek overeengekomen werkzaamheden of een overige opdracht.
</w:t>
      </w:r>
    </w:p>
    <w:p>
      <w:pPr>
        <w:spacing w:after="241" w:line="288" w:lineRule="exact"/>
        <w:ind/>
      </w:pPr>
      <w:r>
        <w:rPr>
          <w:b w:val="0"/>
          <w:i w:val="0"/>
          <w:sz w:val="24"/>
          <w:u w:val="none"/>
        </w:rPr>
        <w:t xml:space="preserve">NB 4: De Toelichting op Wijzigingsverordening VGBA 2019 verduidelijkt dat de opvolgend accountant vraagt of er aanleiding is om een controle-, beoordelings- of samenstellingsopdracht niet te aanvaarden. Het zal daarbij vooral om integriteitsredenen gaan. Het collegiaal overleg is niet bedoeld om zaken te bespreken die (mogelijk) in strijd zijn met het mededingingsrecht. Wel mogen accountants informatie delen op grond van specifieke regelgeving in de EU-verordening, de Wta, het Bta en de NV COS. Het betalingsgedrag van een cliënt is geen onderwerp van collegiaal overleg.
</w:t>
      </w:r>
    </w:p>
    <w:p>
      <w:pPr>
        <w:spacing w:after="241" w:line="288" w:lineRule="exact"/>
        <w:ind/>
      </w:pPr>
      <w:r>
        <w:rPr>
          <w:b w:val="0"/>
          <w:i w:val="0"/>
          <w:sz w:val="24"/>
          <w:u w:val="none"/>
        </w:rPr>
        <w:t xml:space="preserve">NB 5: Voorgaande accountants hebben geen toestemming van hun (voormalige) cliënt nodig om een verzoek om collegiaal overleg volgens artikel 15a van de VGBA te kunnen beantwoorden. Een accountant beantwoordt een verzoek tot collegiaal overleg binnen een redelijke termijn.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1" w:line="288" w:lineRule="exact"/>
        <w:ind/>
      </w:pPr>
      <w:r>
        <w:rPr>
          <w:b/>
          <w:i w:val="0"/>
          <w:sz w:val="24"/>
          <w:u w:val="none"/>
        </w:rPr>
        <w:t xml:space="preserve">Vertrouwelijk</w:t>
      </w:r>
    </w:p>
    <w:p>
      <w:pPr>
        <w:spacing w:after="241" w:line="288" w:lineRule="exact"/>
        <w:ind/>
      </w:pPr>
      <w:r>
        <w:rPr>
          <w:b w:val="0"/>
          <w:i w:val="0"/>
          <w:sz w:val="24"/>
          <w:u w:val="none"/>
        </w:rPr>
        <w:t xml:space="preserve">... (naam andere accountant)</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Betreft: Collegiaal overleg opdrachtaanvaarding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collega(e),
</w:t>
      </w:r>
    </w:p>
    <w:p>
      <w:pPr>
        <w:spacing w:after="241" w:line="288" w:lineRule="exact"/>
        <w:ind/>
      </w:pPr>
      <w:r>
        <w:rPr>
          <w:b w:val="0"/>
          <w:i w:val="0"/>
          <w:sz w:val="24"/>
          <w:u w:val="none"/>
        </w:rPr>
        <w:t xml:space="preserve">Het bestuur van </w:t>
      </w:r>
      <w:r>
        <w:rPr>
          <w:b w:val="0"/>
          <w:i w:val="0"/>
          <w:sz w:val="24"/>
          <w:u w:val="none"/>
        </w:rPr>
        <w:t xml:space="preserve">... (naam entiteit)</w:t>
      </w:r>
      <w:r>
        <w:rPr>
          <w:b w:val="0"/>
          <w:i w:val="0"/>
          <w:sz w:val="24"/>
          <w:u w:val="none"/>
        </w:rPr>
        <w:t xml:space="preserve"> heeft ons verzocht de opdracht tot ... (controle/beoordeling/samenstelling) van de jaarrekening van </w:t>
      </w:r>
      <w:r>
        <w:rPr>
          <w:b w:val="0"/>
          <w:i w:val="0"/>
          <w:sz w:val="24"/>
          <w:u w:val="none"/>
        </w:rPr>
        <w:t xml:space="preserve">... (naam entiteit)</w:t>
      </w:r>
      <w:r>
        <w:rPr>
          <w:b w:val="0"/>
          <w:i w:val="0"/>
          <w:sz w:val="24"/>
          <w:u w:val="none"/>
        </w:rPr>
        <w:t xml:space="preserve"> te aanvaarden met ingang van het jaar </w:t>
      </w:r>
      <w:r>
        <w:rPr>
          <w:b w:val="0"/>
          <w:i w:val="0"/>
          <w:sz w:val="24"/>
          <w:u w:val="none"/>
        </w:rPr>
        <w:t xml:space="preserve">JJJJ (of voor een gebroken boekjaar: voor het jaar eindigend op 30 juni JJJJ)</w:t>
      </w:r>
      <w:r>
        <w:rPr>
          <w:b w:val="0"/>
          <w:i w:val="0"/>
          <w:sz w:val="24"/>
          <w:u w:val="none"/>
        </w:rPr>
        <w:t xml:space="preserve">.</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val="0"/>
          <w:sz w:val="24"/>
          <w:u w:val="none"/>
        </w:rPr>
        <w:t xml:space="preserve">: Naar wij begrijpen, heeft het bestuur u [</w:t>
      </w:r>
      <w:r>
        <w:rPr>
          <w:b/>
          <w:i/>
          <w:sz w:val="24"/>
          <w:u w:val="none"/>
        </w:rPr>
        <w:t xml:space="preserve">optioneel</w:t>
      </w:r>
      <w:r>
        <w:rPr>
          <w:b w:val="0"/>
          <w:i w:val="0"/>
          <w:sz w:val="24"/>
          <w:u w:val="none"/>
        </w:rPr>
        <w:t xml:space="preserve">: schriftelijk/mondeling op ... (datum)] van deze wijziging op de hoogte gesteld.]</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Het bestuur deelde ons [</w:t>
      </w:r>
      <w:r>
        <w:rPr>
          <w:b/>
          <w:i/>
          <w:sz w:val="24"/>
          <w:u w:val="none"/>
        </w:rPr>
        <w:t xml:space="preserve">optioneel</w:t>
      </w:r>
      <w:r>
        <w:rPr>
          <w:b w:val="0"/>
          <w:i w:val="0"/>
          <w:sz w:val="24"/>
          <w:u w:val="none"/>
        </w:rPr>
        <w:t xml:space="preserve">: verder] mee dat u tot dusverre (of: in de afgelopen 24 maanden) een ... (controleopdracht/beoordelingsopdracht/samenstellingsopdracht) hebt uitgevoerd.</w:t>
      </w:r>
      <w:r>
        <w:rPr>
          <w:b w:val="0"/>
          <w:i w:val="0"/>
          <w:sz w:val="24"/>
          <w:u w:val="none"/>
        </w:rPr>
        <w:cr/>
      </w:r>
      <w:r>
        <w:rPr>
          <w:b w:val="0"/>
          <w:i w:val="0"/>
          <w:sz w:val="24"/>
          <w:u w:val="none"/>
        </w:rPr>
        <w:t xml:space="preserve">
Zoals vereist in artikel 15a van de VGBA vernemen wij graag op korte termijn of er aanleiding is om de opdracht niet te aanvaarden.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Hierbij gaat het hoofdzakelijk om integriteitsredenen die aanleiding geven de opdracht wel of niet te aanvaarden. [U kunt denken aan onder meer de volgende voorbeelden van redenen, feiten of omstandigheden (zie ook de NBA-handreiking 1130 met uitleg van en voorbeelden bij de VGBA): betrokkenheid bij onwettige activiteiten zoals belastingfraude en witwassen, misleidende of discutabele verslaggevingsmethoden of verhindering een deskundige in te schakelen voor meer kennis.]
</w:t>
      </w:r>
    </w:p>
    <w:p>
      <w:pPr>
        <w:spacing w:after="241" w:line="288" w:lineRule="exact"/>
        <w:ind/>
      </w:pPr>
      <w:r>
        <w:rPr>
          <w:b w:val="0"/>
          <w:i w:val="0"/>
          <w:sz w:val="24"/>
          <w:u w:val="none"/>
        </w:rPr>
        <w:t xml:space="preserve">Voor alle inlichtingen hierover zijn wij u bij voorbaat erkentelijk.</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(ondertekenende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Aan te passen aan de specifieke omstandigheden bij de cliënt.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Er hoeft niet altijd sprake te zijn van een 'wijziging'. Het is ook mogelijk dat een accountant die voor het eerst een controleopdracht gaat uitvoeren collegiaal overleg pleegt met een accountant die de jaarrekening samenstelt.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2024-09-16T19:58:03Z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