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321" w:line="384" w:lineRule="exact"/>
        <w:ind/>
      </w:pPr>
      <w:r>
        <w:rPr>
          <w:b/>
          <w:i w:val="0"/>
          <w:sz w:val="32"/>
          <w:u w:val="none"/>
        </w:rPr>
        <w:t xml:space="preserve">1. (Controle)verklaringen in nieuw format voor verslagperioden die zijn aangevangen op of na 15 december 2020</w:t>
      </w:r>
      <w:r>
        <w:rPr>
          <w:b/>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REPORT OF THE INDEPENDENT AUDITOR</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qualified opinion</w:t>
      </w:r>
    </w:p>
    <w:p>
      <w:pPr>
        <w:spacing w:after="241" w:line="288" w:lineRule="exact"/>
        <w:ind/>
      </w:pPr>
      <w:r>
        <w:rPr>
          <w:b w:val="0"/>
          <w:i w:val="0"/>
          <w:sz w:val="24"/>
          <w:u w:val="none"/>
        </w:rPr>
        <w:t xml:space="preserve">The summary financial statements </w:t>
      </w:r>
      <w:r>
        <w:rPr>
          <w:b w:val="0"/>
          <w:i w:val="0"/>
          <w:sz w:val="24"/>
          <w:u w:val="none"/>
        </w:rPr>
        <w:t xml:space="preserve">YYYY</w:t>
      </w:r>
      <w:r>
        <w:rPr>
          <w:b w:val="0"/>
          <w:i w:val="0"/>
          <w:sz w:val="24"/>
          <w:u w:val="none"/>
          <w:vertAlign w:val="superscript"/>
        </w:rPr>
        <w:footnoteReference w:customMarkFollows="off" w:id="1"/>
      </w:r>
      <w:r>
        <w:rPr>
          <w:b w:val="0"/>
          <w:i w:val="0"/>
          <w:sz w:val="24"/>
          <w:u w:val="none"/>
        </w:rPr>
        <w:t xml:space="preserve"> (hereafter: 'the summary financial statements')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is derived from the audited financial statements </w:t>
      </w:r>
      <w:r>
        <w:rPr>
          <w:b w:val="0"/>
          <w:i w:val="0"/>
          <w:sz w:val="24"/>
          <w:u w:val="none"/>
        </w:rPr>
        <w:t xml:space="preserve">YYYY</w:t>
      </w:r>
      <w:r>
        <w:rPr>
          <w:b w:val="0"/>
          <w:i w:val="0"/>
          <w:sz w:val="24"/>
          <w:u w:val="none"/>
          <w:vertAlign w:val="superscript"/>
        </w:rPr>
        <w:footnoteReference w:customMarkFollows="off" w:id="2"/>
      </w:r>
      <w:r>
        <w:rPr>
          <w:b w:val="0"/>
          <w:i w:val="0"/>
          <w:sz w:val="24"/>
          <w:u w:val="none"/>
        </w:rPr>
        <w:t xml:space="preserve"> of </w:t>
      </w:r>
      <w:r>
        <w:rPr>
          <w:b w:val="0"/>
          <w:i w:val="0"/>
          <w:sz w:val="24"/>
          <w:u w:val="none"/>
        </w:rPr>
        <w:t xml:space="preserve">... (naam entiteit(en))</w:t>
      </w:r>
      <w:r>
        <w:rPr>
          <w:b w:val="0"/>
          <w:i w:val="0"/>
          <w:sz w:val="24"/>
          <w:u w:val="none"/>
        </w:rPr>
        <w:t xml:space="preserve">.
</w:t>
      </w:r>
    </w:p>
    <w:p>
      <w:pPr>
        <w:spacing w:after="241" w:line="288" w:lineRule="exact"/>
        <w:ind/>
      </w:pPr>
      <w:r>
        <w:rPr>
          <w:b w:val="0"/>
          <w:i w:val="0"/>
          <w:sz w:val="24"/>
          <w:u w:val="none"/>
        </w:rPr>
        <w:t xml:space="preserve">In our opinion the accompanying summary financial statements are consistent, in all material respects, with the audited financial statements </w:t>
      </w:r>
      <w:r>
        <w:rPr>
          <w:b w:val="0"/>
          <w:i w:val="0"/>
          <w:sz w:val="24"/>
          <w:u w:val="none"/>
        </w:rPr>
        <w:t xml:space="preserve">YYYY</w:t>
      </w:r>
      <w:r>
        <w:rPr>
          <w:b w:val="0"/>
          <w:i w:val="0"/>
          <w:sz w:val="24"/>
          <w:u w:val="none"/>
          <w:vertAlign w:val="superscript"/>
        </w:rPr>
        <w:footnoteReference w:customMarkFollows="off" w:id="3"/>
      </w:r>
      <w:r>
        <w:rPr>
          <w:b w:val="0"/>
          <w:i w:val="0"/>
          <w:sz w:val="24"/>
          <w:u w:val="none"/>
        </w:rPr>
        <w:t xml:space="preserve"> of </w:t>
      </w:r>
      <w:r>
        <w:rPr>
          <w:b w:val="0"/>
          <w:i w:val="0"/>
          <w:sz w:val="24"/>
          <w:u w:val="none"/>
        </w:rPr>
        <w:t xml:space="preserve">... (naam entiteit(en))</w:t>
      </w:r>
      <w:r>
        <w:rPr>
          <w:b w:val="0"/>
          <w:i w:val="0"/>
          <w:sz w:val="24"/>
          <w:u w:val="none"/>
        </w:rPr>
        <w:t xml:space="preserve">, on the basis described in note ... </w:t>
      </w:r>
      <w:r>
        <w:rPr>
          <w:b w:val="0"/>
          <w:i w:val="0"/>
          <w:sz w:val="24"/>
          <w:u w:val="none"/>
        </w:rPr>
        <w:t xml:space="preserve">note ...</w:t>
      </w:r>
      <w:r>
        <w:rPr>
          <w:b w:val="0"/>
          <w:i w:val="0"/>
          <w:sz w:val="24"/>
          <w:u w:val="none"/>
        </w:rPr>
        <w:t xml:space="preserve">. </w:t>
      </w:r>
      <w:r>
        <w:rPr>
          <w:b w:val="0"/>
          <w:i w:val="0"/>
          <w:sz w:val="24"/>
          <w:u w:val="none"/>
        </w:rPr>
        <w:t xml:space="preserve">However, the summary financial statements are misstated to the equivalent extent as the audited financial statements </w:t>
      </w:r>
      <w:r>
        <w:rPr>
          <w:b w:val="0"/>
          <w:i w:val="0"/>
          <w:sz w:val="24"/>
          <w:u w:val="none"/>
        </w:rPr>
        <w:t xml:space="preserve">YYYY</w:t>
      </w:r>
      <w:r>
        <w:rPr>
          <w:b w:val="0"/>
          <w:i w:val="0"/>
          <w:sz w:val="24"/>
          <w:u w:val="none"/>
          <w:vertAlign w:val="superscript"/>
        </w:rPr>
        <w:footnoteReference w:customMarkFollows="off" w:id="4"/>
      </w:r>
      <w:r>
        <w:rPr>
          <w:b w:val="0"/>
          <w:i w:val="0"/>
          <w:sz w:val="24"/>
          <w:u w:val="none"/>
        </w:rPr>
        <w:t xml:space="preserve"> of </w:t>
      </w:r>
      <w:r>
        <w:rPr>
          <w:b w:val="0"/>
          <w:i w:val="0"/>
          <w:sz w:val="24"/>
          <w:u w:val="none"/>
        </w:rPr>
        <w:t xml:space="preserve">... (naam entiteit(en))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The summary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summary statement of financial position at </w:t>
      </w:r>
      <w:r>
        <w:rPr>
          <w:b w:val="0"/>
          <w:i w:val="0"/>
          <w:sz w:val="24"/>
          <w:u w:val="none"/>
        </w:rPr>
        <w:t xml:space="preserve">31 December YYYY (of voor een gebroken boekjaar: 30 June YYYY)</w:t>
      </w:r>
      <w:r>
        <w:rPr>
          <w:b w:val="0"/>
          <w:i w:val="0"/>
          <w:sz w:val="24"/>
          <w:u w:val="none"/>
        </w:rPr>
        <w:t xml:space="preserv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following statements over </w:t>
      </w:r>
      <w:r>
        <w:rPr>
          <w:b w:val="0"/>
          <w:i w:val="0"/>
          <w:sz w:val="24"/>
          <w:u w:val="none"/>
        </w:rPr>
        <w:t xml:space="preserve">YYYY</w:t>
      </w:r>
      <w:r>
        <w:rPr>
          <w:b w:val="0"/>
          <w:i w:val="0"/>
          <w:sz w:val="24"/>
          <w:u w:val="none"/>
          <w:vertAlign w:val="superscript"/>
        </w:rPr>
        <w:footnoteReference w:customMarkFollows="off" w:id="5"/>
      </w:r>
      <w:r>
        <w:rPr>
          <w:b w:val="0"/>
          <w:i w:val="0"/>
          <w:sz w:val="24"/>
          <w:u w:val="none"/>
        </w:rPr>
        <w:t xml:space="preserve">:</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the summary statement of comprehensive income, changes in equity and cash flows;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the related explanatory information.</w:t>
      </w:r>
      <w:r>
        <w:rPr>
          <w:b w:val="0"/>
          <w:i w:val="0"/>
          <w:sz w:val="24"/>
          <w:u w:val="none"/>
          <w:vertAlign w:val="superscript"/>
        </w:rPr>
        <w:footnoteReference w:customMarkFollows="off" w:id="6"/>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Summary financial statements</w:t>
      </w:r>
    </w:p>
    <w:p>
      <w:pPr>
        <w:spacing w:after="241" w:line="288" w:lineRule="exact"/>
        <w:ind/>
      </w:pPr>
      <w:r>
        <w:rPr>
          <w:b w:val="0"/>
          <w:i w:val="0"/>
          <w:sz w:val="24"/>
          <w:u w:val="none"/>
        </w:rPr>
        <w:t xml:space="preserve">The summary financial statements do not contain all the disclosures required by </w:t>
      </w:r>
      <w:r>
        <w:rPr>
          <w:b w:val="0"/>
          <w:i w:val="0"/>
          <w:sz w:val="24"/>
          <w:u w:val="none"/>
        </w:rPr>
        <w:t xml:space="preserve">... (meld het stelsel inzake financiële verslaggeving dat is gehanteerd in de gecontroleerde jaarrekening van de entiteit)</w:t>
      </w:r>
      <w:r>
        <w:rPr>
          <w:b w:val="0"/>
          <w:i w:val="0"/>
          <w:sz w:val="24"/>
          <w:u w:val="none"/>
        </w:rPr>
        <w:t xml:space="preserve">. Reading the summary financial statements and our report thereon, therefore, is not a substitute for reading the audited financial statements of </w:t>
      </w:r>
      <w:r>
        <w:rPr>
          <w:b w:val="0"/>
          <w:i w:val="0"/>
          <w:sz w:val="24"/>
          <w:u w:val="none"/>
        </w:rPr>
        <w:t xml:space="preserve">... (naam entiteit(en))</w:t>
      </w:r>
      <w:r>
        <w:rPr>
          <w:b w:val="0"/>
          <w:i w:val="0"/>
          <w:sz w:val="24"/>
          <w:u w:val="none"/>
        </w:rPr>
        <w:t xml:space="preserve"> and our auditor's report thereon. The summary financial statements and the audited financial statements do not reflect the effects of events that occurred subsequent to the date of our auditor's report on those financial statements of </w:t>
      </w:r>
      <w:r>
        <w:rPr>
          <w:b w:val="0"/>
          <w:i w:val="0"/>
          <w:sz w:val="24"/>
          <w:u w:val="none"/>
        </w:rPr>
        <w:t xml:space="preserve">... (datum controleverklaring volledige jaarrekening)</w:t>
      </w:r>
      <w:r>
        <w:rPr>
          <w:b w:val="0"/>
          <w:i w:val="0"/>
          <w:sz w:val="24"/>
          <w:u w:val="none"/>
        </w:rPr>
        <w:t xml:space="preserve">.</w:t>
      </w:r>
      <w:r>
        <w:rPr>
          <w:b w:val="0"/>
          <w:i w:val="0"/>
          <w:sz w:val="24"/>
          <w:u w:val="none"/>
          <w:vertAlign w:val="superscript"/>
        </w:rPr>
        <w:footnoteReference w:customMarkFollows="off" w:id="7"/>
      </w:r>
      <w:r>
        <w:rPr>
          <w:b w:val="0"/>
          <w:i w:val="0"/>
          <w:sz w:val="24"/>
          <w:u w:val="none"/>
        </w:rPr>
        <w:t xml:space="preserve"> </w:t>
      </w:r>
    </w:p>
    <w:p>
      <w:pPr>
        <w:spacing w:after="1" w:line="288" w:lineRule="exact"/>
        <w:ind/>
      </w:pPr>
      <w:r>
        <w:rPr>
          <w:b/>
          <w:i w:val="0"/>
          <w:sz w:val="24"/>
          <w:u w:val="none"/>
        </w:rPr>
        <w:t xml:space="preserve">The audited financial statements and our auditor's report thereon</w:t>
      </w:r>
    </w:p>
    <w:p>
      <w:pPr>
        <w:spacing w:after="241" w:line="288" w:lineRule="exact"/>
        <w:ind/>
      </w:pPr>
      <w:r>
        <w:rPr>
          <w:b w:val="0"/>
          <w:i w:val="0"/>
          <w:sz w:val="24"/>
          <w:u w:val="none"/>
        </w:rPr>
        <w:t xml:space="preserve">We expressed </w:t>
      </w:r>
      <w:r>
        <w:rPr>
          <w:b w:val="0"/>
          <w:i w:val="0"/>
          <w:sz w:val="24"/>
          <w:u w:val="none"/>
        </w:rPr>
        <w:t xml:space="preserve">a qualified opinion</w:t>
      </w:r>
      <w:r>
        <w:rPr>
          <w:b w:val="0"/>
          <w:i w:val="0"/>
          <w:sz w:val="24"/>
          <w:u w:val="none"/>
        </w:rPr>
        <w:t xml:space="preserve"> on the audited financial statements </w:t>
      </w:r>
      <w:r>
        <w:rPr>
          <w:b w:val="0"/>
          <w:i w:val="0"/>
          <w:sz w:val="24"/>
          <w:u w:val="none"/>
        </w:rPr>
        <w:t xml:space="preserve">YYYY</w:t>
      </w:r>
      <w:r>
        <w:rPr>
          <w:b w:val="0"/>
          <w:i w:val="0"/>
          <w:sz w:val="24"/>
          <w:u w:val="none"/>
          <w:vertAlign w:val="superscript"/>
        </w:rPr>
        <w:footnoteReference w:customMarkFollows="off" w:id="8"/>
      </w:r>
      <w:r>
        <w:rPr>
          <w:b w:val="0"/>
          <w:i w:val="0"/>
          <w:sz w:val="24"/>
          <w:u w:val="none"/>
        </w:rPr>
        <w:t xml:space="preserve"> of </w:t>
      </w:r>
      <w:r>
        <w:rPr>
          <w:b w:val="0"/>
          <w:i w:val="0"/>
          <w:sz w:val="24"/>
          <w:u w:val="none"/>
        </w:rPr>
        <w:t xml:space="preserve">... (naam entiteit(en))</w:t>
      </w:r>
      <w:r>
        <w:rPr>
          <w:b w:val="0"/>
          <w:i w:val="0"/>
          <w:sz w:val="24"/>
          <w:u w:val="none"/>
        </w:rPr>
        <w:t xml:space="preserve"> in our auditor's report of </w:t>
      </w:r>
      <w:r>
        <w:rPr>
          <w:b w:val="0"/>
          <w:i w:val="0"/>
          <w:sz w:val="24"/>
          <w:u w:val="none"/>
        </w:rPr>
        <w:t xml:space="preserve">... (datum controleverklaring volledige jaarrekening)</w:t>
      </w:r>
      <w:r>
        <w:rPr>
          <w:b w:val="0"/>
          <w:i w:val="0"/>
          <w:sz w:val="24"/>
          <w:u w:val="none"/>
        </w:rPr>
        <w:t xml:space="preserve">. </w:t>
      </w:r>
      <w:r>
        <w:rPr>
          <w:b w:val="0"/>
          <w:i w:val="0"/>
          <w:sz w:val="24"/>
          <w:u w:val="none"/>
        </w:rPr>
        <w:t xml:space="preserve">Our qualified opinion is based on the fact that the accounts receivable include an amount of [...], which cannot be collected due to the insolvency of the debtor. This amount has not been provided for.</w:t>
      </w:r>
      <w:r>
        <w:rPr>
          <w:b w:val="0"/>
          <w:i w:val="0"/>
          <w:sz w:val="24"/>
          <w:u w:val="none"/>
        </w:rPr>
        <w:cr/>
      </w:r>
      <w:r>
        <w:rPr>
          <w:b w:val="0"/>
          <w:i w:val="0"/>
          <w:sz w:val="24"/>
          <w:u w:val="none"/>
        </w:rPr>
        <w:t xml:space="preserve">
[</w:t>
      </w:r>
      <w:r>
        <w:rPr>
          <w:b/>
          <w:i/>
          <w:sz w:val="24"/>
          <w:u w:val="none"/>
        </w:rPr>
        <w:t xml:space="preserve">Indien van toepassing</w:t>
      </w:r>
      <w:r>
        <w:rPr>
          <w:b w:val="0"/>
          <w:i w:val="0"/>
          <w:sz w:val="24"/>
          <w:u w:val="none"/>
        </w:rPr>
        <w:t xml:space="preserve">: </w:t>
      </w:r>
      <w:r>
        <w:rPr>
          <w:b w:val="0"/>
          <w:i/>
          <w:sz w:val="24"/>
          <w:u w:val="none"/>
        </w:rPr>
        <w:t xml:space="preserve">That report also includes ...</w:t>
      </w:r>
      <w:r>
        <w:rPr>
          <w:b w:val="0"/>
          <w:i w:val="0"/>
          <w:sz w:val="24"/>
          <w:u w:val="none"/>
        </w:rPr>
        <w:t xml:space="preserve">]</w:t>
      </w:r>
      <w:r>
        <w:rPr>
          <w:b w:val="0"/>
          <w:i w:val="0"/>
          <w:sz w:val="24"/>
          <w:u w:val="none"/>
          <w:vertAlign w:val="superscript"/>
        </w:rPr>
        <w:footnoteReference w:customMarkFollows="off" w:id="9"/>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and the supervisory board</w:t>
      </w:r>
      <w:r>
        <w:rPr>
          <w:b/>
          <w:i w:val="0"/>
          <w:sz w:val="24"/>
          <w:u w:val="none"/>
          <w:vertAlign w:val="superscript"/>
        </w:rPr>
        <w:footnoteReference w:customMarkFollows="off" w:id="10"/>
      </w:r>
      <w:r>
        <w:rPr>
          <w:b/>
          <w:i w:val="0"/>
          <w:sz w:val="24"/>
          <w:u w:val="none"/>
        </w:rPr>
        <w:t xml:space="preserve"> for </w:t>
      </w:r>
      <w:r>
        <w:rPr>
          <w:b/>
          <w:i w:val="0"/>
          <w:sz w:val="24"/>
          <w:u w:val="none"/>
        </w:rPr>
        <w:t xml:space="preserve">summary financial statements</w:t>
      </w:r>
    </w:p>
    <w:p>
      <w:pPr>
        <w:spacing w:after="241" w:line="288" w:lineRule="exact"/>
        <w:ind/>
      </w:pPr>
      <w:r>
        <w:rPr>
          <w:b w:val="0"/>
          <w:i w:val="0"/>
          <w:sz w:val="24"/>
          <w:u w:val="none"/>
        </w:rPr>
        <w:t xml:space="preserve"> </w:t>
      </w:r>
      <w:r>
        <w:rPr>
          <w:b w:val="0"/>
          <w:i w:val="0"/>
          <w:sz w:val="24"/>
          <w:u w:val="none"/>
        </w:rPr>
        <w:t xml:space="preserve">Management</w:t>
      </w:r>
      <w:r>
        <w:rPr>
          <w:b w:val="0"/>
          <w:i w:val="0"/>
          <w:sz w:val="24"/>
          <w:u w:val="none"/>
          <w:vertAlign w:val="superscript"/>
        </w:rPr>
        <w:footnoteReference w:customMarkFollows="off" w:id="11"/>
      </w:r>
      <w:r>
        <w:rPr>
          <w:b w:val="0"/>
          <w:i w:val="0"/>
          <w:sz w:val="24"/>
          <w:u w:val="none"/>
        </w:rPr>
        <w:t xml:space="preserve"> is responsible for the preparation of </w:t>
      </w:r>
      <w:r>
        <w:rPr>
          <w:b w:val="0"/>
          <w:i w:val="0"/>
          <w:sz w:val="24"/>
          <w:u w:val="none"/>
        </w:rPr>
        <w:t xml:space="preserve">the summary financial statements on the basis as described in </w:t>
      </w:r>
      <w:r>
        <w:rPr>
          <w:b w:val="0"/>
          <w:i w:val="0"/>
          <w:sz w:val="24"/>
          <w:u w:val="none"/>
        </w:rPr>
        <w:t xml:space="preserve">note ...</w:t>
      </w:r>
      <w:r>
        <w:rPr>
          <w:b w:val="0"/>
          <w:i w:val="0"/>
          <w:sz w:val="24"/>
          <w:u w:val="none"/>
        </w:rPr>
        <w:t xml:space="preserve">.
</w:t>
      </w:r>
    </w:p>
    <w:p>
      <w:pPr>
        <w:spacing w:after="241" w:line="288" w:lineRule="exact"/>
        <w:ind/>
      </w:pPr>
      <w:r>
        <w:rPr>
          <w:b w:val="0"/>
          <w:i w:val="0"/>
          <w:sz w:val="24"/>
          <w:u w:val="none"/>
        </w:rPr>
        <w:t xml:space="preserve">The supervisory board is responsible for overseeing the company's financial reporting process.</w:t>
      </w:r>
      <w:r>
        <w:rPr>
          <w:b w:val="0"/>
          <w:i w:val="0"/>
          <w:sz w:val="24"/>
          <w:u w:val="none"/>
          <w:vertAlign w:val="superscript"/>
        </w:rPr>
        <w:footnoteReference w:customMarkFollows="off" w:id="12"/>
      </w:r>
      <w:r>
        <w:rPr>
          <w:b w:val="0"/>
          <w:i w:val="0"/>
          <w:sz w:val="24"/>
          <w:u w:val="none"/>
          <w:vertAlign w:val="superscript"/>
        </w:rPr>
        <w:footnoteReference w:customMarkFollows="off" w:id="13"/>
      </w:r>
      <w:r>
        <w:rPr>
          <w:b w:val="0"/>
          <w:i w:val="0"/>
          <w:sz w:val="24"/>
          <w:u w:val="none"/>
        </w:rPr>
        <w:t xml:space="preserve"> </w:t>
      </w:r>
    </w:p>
    <w:p>
      <w:pPr>
        <w:spacing w:after="1" w:line="288" w:lineRule="exact"/>
        <w:ind/>
      </w:pPr>
      <w:r>
        <w:rPr>
          <w:b/>
          <w:i w:val="0"/>
          <w:sz w:val="24"/>
          <w:u w:val="none"/>
        </w:rPr>
        <w:t xml:space="preserve">Our responsibilities</w:t>
      </w:r>
    </w:p>
    <w:p>
      <w:pPr>
        <w:spacing w:after="241" w:line="288" w:lineRule="exact"/>
        <w:ind/>
      </w:pPr>
      <w:r>
        <w:rPr>
          <w:b w:val="0"/>
          <w:i w:val="0"/>
          <w:sz w:val="24"/>
          <w:u w:val="none"/>
        </w:rPr>
        <w:t xml:space="preserve">Our responsibility is to express an opinion on whether </w:t>
      </w:r>
      <w:r>
        <w:rPr>
          <w:b w:val="0"/>
          <w:i w:val="0"/>
          <w:sz w:val="24"/>
          <w:u w:val="none"/>
        </w:rPr>
        <w:t xml:space="preserve">summary financial statements</w:t>
      </w:r>
      <w:r>
        <w:rPr>
          <w:b w:val="0"/>
          <w:i w:val="0"/>
          <w:sz w:val="24"/>
          <w:u w:val="none"/>
        </w:rPr>
        <w:t xml:space="preserve"> are consistent, in all material respects, with the audited financial statements based on our procedures, which we conducted in accordance with Dutch law, including the Dutch Standard 810 'Opdrachten om te rapporteren betreffende samengevatte financiële overzichten' (Engagements to report on summary financial statements).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bij een gebroken boekjaar: for the year ended 30 June YYYY.</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Of bij een gebroken boekjaar: for the year ended 30 June YYYY.</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Of bij een gebroken boekjaar: for the year ended 30 June YYYY.</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Of bij een gebroken boekjaar: for the year ended 30 June YYYY.</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Of bij een gebroken boekjaar: for the year ended 30 June YYYY.</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Opsomming componenten van het opdrachtobject laten aansluiten op de eisen die het stelsel van financiële verslaggeving daaraan stelt en de keuzes die daarbinnen door de entiteit zijn gemaakt.</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Indien beide controleverklaringen op dezelfde datum worden afgegeven, dient deze zin te worden verwijderd.</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Of bij een gebroken boekjaar: for the year ended 30 June YYYY.</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Indien in de controleverklaring bij de jaarrekening een paragraaf ter benadrukking van aangelegenheden of paragraaf inzake overige aangelegenheden, een sectie Materiële onzekerheid over de continuïteit, communicatie van materialiteit, reikwijdte groepscontrole en kernpunten van de controle of een vermelding die een niet gecorrigeerde afwijking van materieel belang in de andere informatie beschrijft bevat, dient een verwijzing naar de betreffende controleverklaring te worden opgenomen overeenkomstig Standaard 810.19.</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Deze passage kan worden aangepast aan de terminologie bij de cliënt. Zo nodig aanpassen als een supervisory board (raad van commissarissen) of soortgelijk orgaan ontbreekt of geen verantwoordelijkheid heeft voor het opdrachtobject.</w:t>
      </w:r>
    </w:p>
  </w:footnote>
  <w:footnote w:type="normal" w:id="11">
    <w:p>
      <w:pPr>
        <w:spacing w:after="1" w:line="240" w:lineRule="exact"/>
        <w:ind w:left="566" w:hanging="566"/>
      </w:pPr>
      <w:r>
        <w:rPr>
          <w:b w:val="0"/>
          <w:i w:val="0"/>
          <w:sz w:val="20"/>
          <w:u w:val="none"/>
        </w:rPr>
        <w:t xml:space="preserve">11.</w:t>
      </w:r>
      <w:r>
        <w:rPr>
          <w:b w:val="0"/>
          <w:i w:val="0"/>
          <w:sz w:val="20"/>
          <w:u w:val="none"/>
        </w:rPr>
        <w:tab/>
      </w:r>
      <w:r>
        <w:rPr>
          <w:b w:val="0"/>
          <w:i w:val="0"/>
          <w:sz w:val="20"/>
          <w:u w:val="none"/>
        </w:rPr>
        <w:t xml:space="preserve">Naargelang de situatie aan te passen, bijvoorbeeld 'The board'.</w:t>
      </w:r>
    </w:p>
  </w:footnote>
  <w:footnote w:type="normal" w:id="12">
    <w:p>
      <w:pPr>
        <w:spacing w:after="1" w:line="240" w:lineRule="exact"/>
        <w:ind w:left="566" w:hanging="566"/>
      </w:pPr>
      <w:r>
        <w:rPr>
          <w:b w:val="0"/>
          <w:i w:val="0"/>
          <w:sz w:val="20"/>
          <w:u w:val="none"/>
        </w:rPr>
        <w:t xml:space="preserve">12.</w:t>
      </w:r>
      <w:r>
        <w:rPr>
          <w:b w:val="0"/>
          <w:i w:val="0"/>
          <w:sz w:val="20"/>
          <w:u w:val="none"/>
        </w:rPr>
        <w:tab/>
      </w:r>
      <w:r>
        <w:rPr>
          <w:b w:val="0"/>
          <w:i w:val="0"/>
          <w:sz w:val="20"/>
          <w:u w:val="none"/>
        </w:rPr>
        <w:t xml:space="preserve">Zo nodig aan te passen, bijvoorbeeld als een raad van commissarissen of soortgelijk orgaan een andere benaming heeft of ontbreekt, of als de cliënt een andere rechtsvorm dan vennootschap heeft.</w:t>
      </w:r>
    </w:p>
  </w:footnote>
  <w:footnote w:type="normal" w:id="13">
    <w:p>
      <w:pPr>
        <w:spacing w:after="1" w:line="240" w:lineRule="exact"/>
        <w:ind w:left="566" w:hanging="566"/>
      </w:pPr>
      <w:r>
        <w:rPr>
          <w:b w:val="0"/>
          <w:i w:val="0"/>
          <w:sz w:val="20"/>
          <w:u w:val="none"/>
        </w:rPr>
        <w:t xml:space="preserve">13.</w:t>
      </w:r>
      <w:r>
        <w:rPr>
          <w:b w:val="0"/>
          <w:i w:val="0"/>
          <w:sz w:val="20"/>
          <w:u w:val="none"/>
        </w:rPr>
        <w:tab/>
      </w:r>
      <w:r>
        <w:rPr>
          <w:b w:val="0"/>
          <w:i w:val="0"/>
          <w:sz w:val="20"/>
          <w:u w:val="none"/>
        </w:rPr>
        <w:t xml:space="preserve">Zo nodig aanpassen als een raad van commissarissen of soortgelijk orgaan ontbreekt.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530400"/>
    <w:multiLevelType w:val="hybridMultilevel"/>
    <w:tmpl w:val="A2530400"/>
    <w:lvl w:ilvl="0" w:tplc="A3530400">
      <w:start w:val="1"/>
      <w:numFmt w:val="decimal"/>
      <w:lvlText w:val="%1."/>
      <w:lvlJc w:val="left"/>
      <w:pPr>
        <w:ind w:left="0"/>
      </w:pPr>
      <w:rPr/>
    </w:lvl>
  </w:abstractNum>
  <w:abstractNum w:abstractNumId="2">
    <w:nsid w:val="A4530400"/>
    <w:multiLevelType w:val="hybridMultilevel"/>
    <w:tmpl w:val="A5530400"/>
    <w:lvl w:ilvl="0" w:tplc="A6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2025-01-15T14:32:24Z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