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321" w:line="384" w:lineRule="exact"/>
        <w:ind/>
      </w:pPr>
      <w:r>
        <w:rPr>
          <w:b/>
          <w:i w:val="0"/>
          <w:sz w:val="32"/>
          <w:u w:val="none"/>
        </w:rPr>
        <w:t xml:space="preserve">1. (Controle)verklaringen in nieuw format voor verslagperioden die zijn aangevangen op of na 15 december 2020</w:t>
      </w:r>
      <w:r>
        <w:rPr>
          <w:b/>
          <w:i w:val="0"/>
          <w:sz w:val="24"/>
          <w:u w:val="none"/>
        </w:rPr>
        <w:t xml:space="preserve"> </w:t>
      </w:r>
    </w:p>
    <w:p>
      <w:pPr>
        <w:spacing w:after="241" w:line="288" w:lineRule="exact"/>
        <w:ind/>
      </w:pPr>
    </w:p>
    <w:p>
      <w:pPr>
        <w:spacing w:after="241" w:line="288" w:lineRule="exact"/>
        <w:ind/>
      </w:pPr>
      <w:r>
        <w:rPr>
          <w:b w:val="0"/>
          <w:i w:val="0"/>
          <w:sz w:val="24"/>
          <w:u w:val="none"/>
        </w:rPr>
        <w:t xml:space="preserve">NB: Hoofdstuk 1.13 met de controleverklaringen bij een jaarrekening van een beleggingsentiteit vervalt.</w:t>
      </w:r>
      <w:r>
        <w:rPr>
          <w:b w:val="0"/>
          <w:i w:val="0"/>
          <w:sz w:val="24"/>
          <w:u w:val="none"/>
        </w:rPr>
        <w:cr/>
      </w:r>
      <w:r>
        <w:rPr>
          <w:b w:val="0"/>
          <w:i w:val="0"/>
          <w:sz w:val="24"/>
          <w:u w:val="none"/>
        </w:rPr>
        <w:t xml:space="preserve">
Dit komt doordat de verwijzing naar de Wft in het geldende stelsel inzake financiële verslaggeving is vervallen. Voor een controleverklaring bij een jaarrekening van een beleggingsentiteit volstaan de controleverklaringen in HRA deel 3, sectie II, hoofdstukken 1.1 en 1.2.</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cr/>
      </w:r>
      <w:r>
        <w:rPr>
          <w:b w:val="0"/>
          <w:i w:val="0"/>
          <w:sz w:val="24"/>
          <w:u w:val="none"/>
        </w:rPr>
        <w:t xml:space="preserve">
Deze specifieke voorbeeldtekst geldt </w:t>
      </w:r>
      <w:r>
        <w:rPr>
          <w:b/>
          <w:i w:val="0"/>
          <w:sz w:val="24"/>
          <w:u w:val="none"/>
        </w:rPr>
        <w:t xml:space="preserve">uitsluitend</w:t>
      </w:r>
      <w:r>
        <w:rPr>
          <w:b w:val="0"/>
          <w:i w:val="0"/>
          <w:sz w:val="24"/>
          <w:u w:val="none"/>
        </w:rPr>
        <w:t xml:space="preserve"> voor een beleggingsinstelling of instelling voor collectieve belegging in effecten (icbe) zijn waarvoor de beheerder (van een beleggingsinstelling of icbe) dan wel de beleggingsinstelling of icbe zelf een vergunning heeft ontvangen van de AFM zoals bedoeld in art. 2:65 Wft (beleggingsinstelling) of art. 2:69b (icbe). Het begrip 'beleggingsentiteit' in de voorbeeldtekst omvat uitsluitend deze beleggingsinstellingen en icbe's en is daarmee minder uitgebreid dan de definitie in RJ615 Beleggingsentiteiten.</w:t>
      </w:r>
      <w:r>
        <w:rPr>
          <w:b w:val="0"/>
          <w:i w:val="0"/>
          <w:sz w:val="24"/>
          <w:u w:val="none"/>
        </w:rPr>
        <w:cr/>
      </w:r>
      <w:r>
        <w:rPr>
          <w:b w:val="0"/>
          <w:i w:val="0"/>
          <w:sz w:val="24"/>
          <w:u w:val="none"/>
        </w:rPr>
        <w:t xml:space="preserve"> </w:t>
      </w:r>
      <w:r>
        <w:rPr>
          <w:b w:val="0"/>
          <w:i w:val="0"/>
          <w:sz w:val="24"/>
          <w:u w:val="none"/>
        </w:rPr>
        <w:cr/>
      </w:r>
      <w:r>
        <w:rPr>
          <w:b w:val="0"/>
          <w:i w:val="0"/>
          <w:sz w:val="24"/>
          <w:u w:val="none"/>
        </w:rPr>
        <w:t xml:space="preserve">
Aanwijzing bij gebruik:</w:t>
      </w:r>
      <w:r>
        <w:rPr>
          <w:b w:val="0"/>
          <w:i w:val="0"/>
          <w:sz w:val="24"/>
          <w:u w:val="none"/>
        </w:rPr>
        <w:cr/>
      </w:r>
      <w:r>
        <w:rPr>
          <w:b w:val="0"/>
          <w:i w:val="0"/>
          <w:sz w:val="24"/>
          <w:u w:val="none"/>
        </w:rPr>
        <w:t xml:space="preserve">
Een beleggingsentiteit kan een beleggingsinstelling of een icbe zijn. Wanneer de beleggingsinstelling of icbe rechtspersoonlijkheid heeft, is sprake van een maatschappij (met een bestuur of directie) en bij geen rechtspersoonlijkheid is sprake van een fonds (met een beheerder).</w:t>
      </w:r>
      <w:r>
        <w:rPr>
          <w:b w:val="0"/>
          <w:i w:val="0"/>
          <w:sz w:val="24"/>
          <w:u w:val="none"/>
        </w:rPr>
        <w:cr/>
      </w:r>
      <w:r>
        <w:rPr>
          <w:b w:val="0"/>
          <w:i w:val="0"/>
          <w:sz w:val="24"/>
          <w:u w:val="none"/>
        </w:rPr>
        <w:t xml:space="preserve"> </w:t>
      </w:r>
      <w:r>
        <w:rPr>
          <w:b w:val="0"/>
          <w:i w:val="0"/>
          <w:sz w:val="24"/>
          <w:u w:val="none"/>
        </w:rPr>
        <w:cr/>
      </w:r>
      <w:r>
        <w:rPr>
          <w:b w:val="0"/>
          <w:i w:val="0"/>
          <w:sz w:val="24"/>
          <w:u w:val="none"/>
        </w:rPr>
        <w:t xml:space="preserve">
Denk bij een fonds aan diverse passages, waaronder: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aanhef ('Aan: de participanten en de beheerder (en evt. toezichthoudend orgaan) van ... (fonds));</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'andere informatie' ('verslag van de beheerder');</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specifieke aanduidingen voor beleggingsentiteiten met en zonder rechtspersoonlijkheid en de term beleggingsentiteit in plaats van vennootschap, onderneming en dergelijke, zie aanwijzingen in de voetnoten van deze verklaring.</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[__MISSENDE_VARIABELE: U.00 Opdrachtgever(s)]</w:t>
      </w:r>
      <w:r>
        <w:rPr>
          <w:b w:val="0"/>
          <w:i w:val="0"/>
          <w:sz w:val="24"/>
          <w:u w:val="none"/>
        </w:rPr>
        <w:t xml:space="preserve"> </w:t>
      </w:r>
    </w:p>
    <w:p>
      <w:pPr>
        <w:spacing w:after="1" w:line="288" w:lineRule="exact"/>
        <w:ind/>
      </w:pPr>
      <w:r>
        <w:rPr>
          <w:b/>
          <w:i w:val="0"/>
          <w:sz w:val="24"/>
          <w:u w:val="none"/>
        </w:rPr>
        <w:t xml:space="preserve">Report on the audit of the </w:t>
      </w:r>
      <w:r>
        <w:rPr>
          <w:b/>
          <w:i w:val="0"/>
          <w:sz w:val="24"/>
          <w:u w:val="none"/>
        </w:rPr>
        <w:t xml:space="preserve">[__MISSENDE_VARIABELE: 01.115 Paragraafkop betreffende jaarrekening]</w:t>
      </w:r>
      <w:r>
        <w:rPr>
          <w:b/>
          <w:i w:val="0"/>
          <w:sz w:val="24"/>
          <w:u w:val="none"/>
        </w:rPr>
        <w:t xml:space="preserve"> </w:t>
      </w:r>
      <w:r>
        <w:rPr>
          <w:b/>
          <w:i w:val="0"/>
          <w:sz w:val="24"/>
          <w:u w:val="none"/>
        </w:rPr>
        <w:t xml:space="preserve">YYYY</w:t>
      </w:r>
      <w:r>
        <w:rPr>
          <w:b/>
          <w:i w:val="0"/>
          <w:sz w:val="24"/>
          <w:u w:val="none"/>
          <w:vertAlign w:val="superscript"/>
        </w:rPr>
        <w:footnoteReference w:customMarkFollows="off" w:id="1"/>
      </w:r>
      <w:r>
        <w:rPr>
          <w:b/>
          <w:i w:val="0"/>
          <w:sz w:val="24"/>
          <w:u w:val="none"/>
        </w:rPr>
        <w:t xml:space="preserve"> </w:t>
      </w:r>
      <w:r>
        <w:rPr>
          <w:b/>
          <w:i w:val="0"/>
          <w:sz w:val="24"/>
          <w:u w:val="none"/>
        </w:rPr>
        <w:t xml:space="preserve">included in the annual report</w:t>
      </w:r>
      <w:r>
        <w:rPr>
          <w:b/>
          <w:i w:val="0"/>
          <w:sz w:val="24"/>
          <w:u w:val="none"/>
          <w:vertAlign w:val="superscript"/>
        </w:rPr>
        <w:footnoteReference w:customMarkFollows="off" w:id="2"/>
      </w:r>
      <w:r>
        <w:rPr>
          <w:b/>
          <w:i w:val="0"/>
          <w:sz w:val="24"/>
          <w:u w:val="none"/>
        </w:rPr>
        <w:t xml:space="preserve"> </w:t>
      </w:r>
    </w:p>
    <w:p>
      <w:pPr>
        <w:spacing w:after="1" w:line="288" w:lineRule="exact"/>
        <w:ind/>
      </w:pPr>
      <w:r>
        <w:rPr>
          <w:b/>
          <w:i w:val="0"/>
          <w:sz w:val="24"/>
          <w:u w:val="none"/>
        </w:rPr>
        <w:t xml:space="preserve">[__MISSENDE_VARIABELE: 01.117 Paragraafkop ons oordeel]</w:t>
      </w:r>
    </w:p>
    <w:p>
      <w:pPr>
        <w:spacing w:after="241" w:line="288" w:lineRule="exact"/>
        <w:ind/>
      </w:pPr>
      <w:r>
        <w:rPr>
          <w:b w:val="0"/>
          <w:i w:val="0"/>
          <w:sz w:val="24"/>
          <w:u w:val="none"/>
        </w:rPr>
        <w:t xml:space="preserve">[__MISSENDE_VARIABELE: 01.119 inleiding van oordeel]</w:t>
      </w:r>
      <w:r>
        <w:rPr>
          <w:b w:val="0"/>
          <w:i w:val="0"/>
          <w:sz w:val="24"/>
          <w:u w:val="none"/>
        </w:rPr>
        <w:t xml:space="preserve"> </w:t>
      </w:r>
      <w:r>
        <w:rPr>
          <w:b w:val="0"/>
          <w:i w:val="0"/>
          <w:sz w:val="24"/>
          <w:u w:val="none"/>
        </w:rPr>
        <w:t xml:space="preserve">[__MISSENDE_VARIABELE: 01.127 inleiding: gecontroleerd/te controleren, slot eerste volzin]</w:t>
      </w:r>
      <w:r>
        <w:rPr>
          <w:b w:val="0"/>
          <w:i w:val="0"/>
          <w:sz w:val="24"/>
          <w:u w:val="none"/>
        </w:rPr>
        <w:t xml:space="preserve"> </w:t>
      </w:r>
      <w:r>
        <w:rPr>
          <w:b w:val="0"/>
          <w:i w:val="0"/>
          <w:sz w:val="24"/>
          <w:u w:val="none"/>
        </w:rPr>
        <w:t xml:space="preserve">[__MISSENDE_VARIABELE: 01.123 inleiding oordeel: lidw en object (XBRL); NB, niet actief: staten!]</w:t>
      </w:r>
      <w:r>
        <w:rPr>
          <w:b w:val="0"/>
          <w:i w:val="0"/>
          <w:sz w:val="24"/>
          <w:u w:val="none"/>
        </w:rPr>
        <w:t xml:space="preserve"> of </w:t>
      </w:r>
      <w:r>
        <w:rPr>
          <w:b w:val="0"/>
          <w:i w:val="0"/>
          <w:sz w:val="24"/>
          <w:u w:val="none"/>
        </w:rPr>
        <w:t xml:space="preserve">... (naam en rechtsvorm beleggingsentiteit(en))</w:t>
      </w:r>
      <w:r>
        <w:rPr>
          <w:b w:val="0"/>
          <w:i w:val="0"/>
          <w:sz w:val="24"/>
          <w:u w:val="none"/>
          <w:vertAlign w:val="superscript"/>
        </w:rPr>
        <w:footnoteReference w:customMarkFollows="off" w:id="3"/>
      </w:r>
      <w:r>
        <w:rPr>
          <w:b w:val="0"/>
          <w:i w:val="0"/>
          <w:sz w:val="24"/>
          <w:u w:val="none"/>
        </w:rPr>
        <w:t xml:space="preserve"> based in </w:t>
      </w:r>
      <w:r>
        <w:rPr>
          <w:b w:val="0"/>
          <w:i w:val="0"/>
          <w:sz w:val="24"/>
          <w:u w:val="none"/>
        </w:rPr>
        <w:t xml:space="preserve">... ((statutaire) vestigingsplaats beleggingsentiteit)</w:t>
      </w:r>
      <w:r>
        <w:rPr>
          <w:b w:val="0"/>
          <w:i w:val="0"/>
          <w:sz w:val="24"/>
          <w:u w:val="none"/>
          <w:vertAlign w:val="superscript"/>
        </w:rPr>
        <w:footnoteReference w:customMarkFollows="off" w:id="4"/>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Report on the other information included in the annual report</w:t>
      </w:r>
      <w:r>
        <w:rPr>
          <w:b/>
          <w:i w:val="0"/>
          <w:sz w:val="24"/>
          <w:u w:val="none"/>
          <w:vertAlign w:val="superscript"/>
        </w:rPr>
        <w:footnoteReference w:customMarkFollows="off" w:id="5"/>
      </w:r>
      <w:r>
        <w:rPr>
          <w:b/>
          <w:i w:val="0"/>
          <w:sz w:val="24"/>
          <w:u w:val="none"/>
        </w:rPr>
        <w:t xml:space="preserve"> </w:t>
      </w:r>
    </w:p>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[__MISSENDE_VARIABELE: 01.715 (Opdracht krijgen te lezen) gelezen - (jaarrekening)controle]</w:t>
      </w:r>
      <w:r>
        <w:rPr>
          <w:b w:val="0"/>
          <w:i w:val="0"/>
          <w:sz w:val="24"/>
          <w:u w:val="none"/>
        </w:rPr>
        <w:t xml:space="preserve"> </w:t>
      </w:r>
    </w:p>
    <w:p>
      <w:pPr>
        <w:spacing w:after="1" w:line="288" w:lineRule="exact"/>
        <w:ind/>
      </w:pPr>
      <w:r>
        <w:rPr>
          <w:b/>
          <w:i w:val="0"/>
          <w:sz w:val="24"/>
          <w:u w:val="none"/>
        </w:rPr>
        <w:t xml:space="preserve">Description of responsibilities regarding the </w:t>
      </w:r>
      <w:r>
        <w:rPr>
          <w:b/>
          <w:i w:val="0"/>
          <w:sz w:val="24"/>
          <w:u w:val="none"/>
        </w:rPr>
        <w:t xml:space="preserve">[__MISSENDE_VARIABELE: 01.115 Paragraafkop betreffende jaarrekening]</w:t>
      </w:r>
      <w:r>
        <w:rPr>
          <w:b/>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[__MISSENDE_VARIABELE: 01.829 bestuur/beheerder (en evt rvc) in paragraafkop Verantwoordelijkhdn]</w:t>
      </w:r>
      <w:r>
        <w:rPr>
          <w:b/>
          <w:i w:val="0"/>
          <w:sz w:val="24"/>
          <w:u w:val="none"/>
        </w:rPr>
        <w:t xml:space="preserve"> for </w:t>
      </w:r>
      <w:r>
        <w:rPr>
          <w:b/>
          <w:i w:val="0"/>
          <w:sz w:val="24"/>
          <w:u w:val="none"/>
        </w:rPr>
        <w:t xml:space="preserve">[__MISSENDE_VARIABELE: 01.853 opdrachtobject evt afgekort]</w:t>
      </w:r>
    </w:p>
    <w:p>
      <w:pPr>
        <w:spacing w:after="241" w:line="288" w:lineRule="exact"/>
        <w:ind/>
      </w:pPr>
      <w:r>
        <w:rPr>
          <w:b w:val="0"/>
          <w:i w:val="0"/>
          <w:sz w:val="24"/>
          <w:u w:val="none"/>
        </w:rPr>
        <w:t xml:space="preserve">[__MISSENDE_VARIABELE: 01.849EN Het bestuur/De beheerder Begin zin mv]</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w:t>
      </w:r>
      <w:r>
        <w:rPr>
          <w:b w:val="0"/>
          <w:i w:val="0"/>
          <w:sz w:val="24"/>
          <w:u w:val="none"/>
        </w:rPr>
        <w:t xml:space="preserve">[__MISSENDE_VARIABELE: 01.847 stelsels in paragraaf Verantwoordelijkheden bestuur]</w:t>
      </w:r>
      <w:r>
        <w:rPr>
          <w:b w:val="0"/>
          <w:i w:val="0"/>
          <w:sz w:val="24"/>
          <w:u w:val="none"/>
        </w:rPr>
        <w:t xml:space="preserve">. Furthermore, </w:t>
      </w:r>
      <w:r>
        <w:rPr>
          <w:b w:val="0"/>
          <w:i w:val="0"/>
          <w:sz w:val="24"/>
          <w:u w:val="none"/>
        </w:rPr>
        <w:t xml:space="preserve">[__MISSENDE_VARIABELE: 01.859 bestuur / beheerder (in zin)]</w:t>
      </w:r>
      <w:r>
        <w:rPr>
          <w:b w:val="0"/>
          <w:i w:val="0"/>
          <w:sz w:val="24"/>
          <w:u w:val="none"/>
        </w:rPr>
        <w:t xml:space="preserve"> is responsible for such internal control as </w:t>
      </w:r>
      <w:r>
        <w:rPr>
          <w:b w:val="0"/>
          <w:i w:val="0"/>
          <w:sz w:val="24"/>
          <w:u w:val="none"/>
        </w:rPr>
        <w:t xml:space="preserve">[__MISSENDE_VARIABELE: 01.859 bestuur / beheerder (in zin)]</w:t>
      </w:r>
      <w:r>
        <w:rPr>
          <w:b w:val="0"/>
          <w:i w:val="0"/>
          <w:sz w:val="24"/>
          <w:u w:val="none"/>
        </w:rPr>
        <w:t xml:space="preserve"> determines is necessary to enable the </w:t>
      </w:r>
      <w:r>
        <w:rPr>
          <w:b w:val="0"/>
          <w:i w:val="0"/>
          <w:sz w:val="24"/>
          <w:u w:val="none"/>
        </w:rPr>
        <w:t xml:space="preserve">preparation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that </w:t>
      </w:r>
      <w:r>
        <w:rPr>
          <w:b w:val="0"/>
          <w:i w:val="0"/>
          <w:sz w:val="24"/>
          <w:u w:val="none"/>
        </w:rPr>
        <w:t xml:space="preserve">[__MISSENDE_VARIABELE: 01.861EN is/are]</w:t>
      </w:r>
      <w:r>
        <w:rPr>
          <w:b w:val="0"/>
          <w:i w:val="0"/>
          <w:sz w:val="24"/>
          <w:u w:val="none"/>
        </w:rPr>
        <w:t xml:space="preserve"> free from material misstatement, whether due to fraud or error.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As part of the </w:t>
      </w:r>
      <w:r>
        <w:rPr>
          <w:b w:val="0"/>
          <w:i w:val="0"/>
          <w:sz w:val="24"/>
          <w:u w:val="none"/>
        </w:rPr>
        <w:t xml:space="preserve">preparation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w:t>
      </w:r>
      <w:r>
        <w:rPr>
          <w:b w:val="0"/>
          <w:i w:val="0"/>
          <w:sz w:val="24"/>
          <w:u w:val="none"/>
        </w:rPr>
        <w:t xml:space="preserve">[__MISSENDE_VARIABELE: 01.859 bestuur / beheerder (in zin)]</w:t>
      </w:r>
      <w:r>
        <w:rPr>
          <w:b w:val="0"/>
          <w:i w:val="0"/>
          <w:sz w:val="24"/>
          <w:u w:val="none"/>
        </w:rPr>
        <w:t xml:space="preserve"> is responsible for assessing </w:t>
      </w:r>
      <w:r>
        <w:rPr>
          <w:b w:val="0"/>
          <w:i w:val="0"/>
          <w:sz w:val="24"/>
          <w:u w:val="none"/>
        </w:rPr>
        <w:t xml:space="preserve">the company's</w:t>
      </w:r>
      <w:r>
        <w:rPr>
          <w:b w:val="0"/>
          <w:i w:val="0"/>
          <w:sz w:val="24"/>
          <w:u w:val="none"/>
          <w:vertAlign w:val="superscript"/>
        </w:rPr>
        <w:footnoteReference w:customMarkFollows="off" w:id="6"/>
      </w:r>
      <w:r>
        <w:rPr>
          <w:b w:val="0"/>
          <w:i w:val="0"/>
          <w:sz w:val="24"/>
          <w:u w:val="none"/>
        </w:rPr>
        <w:t xml:space="preserve"> ability to continue as a going concern. Based on </w:t>
      </w:r>
      <w:r>
        <w:rPr>
          <w:b w:val="0"/>
          <w:i w:val="0"/>
          <w:sz w:val="24"/>
          <w:u w:val="none"/>
        </w:rPr>
        <w:t xml:space="preserve">[__MISSENDE_VARIABELE: 01.851 genoemde stelsel(s) in par. Verantw bestuur]</w:t>
      </w:r>
      <w:r>
        <w:rPr>
          <w:b w:val="0"/>
          <w:i w:val="0"/>
          <w:sz w:val="24"/>
          <w:u w:val="none"/>
        </w:rPr>
        <w:t xml:space="preserve">, </w:t>
      </w:r>
      <w:r>
        <w:rPr>
          <w:b w:val="0"/>
          <w:i w:val="0"/>
          <w:sz w:val="24"/>
          <w:u w:val="none"/>
        </w:rPr>
        <w:t xml:space="preserve">[__MISSENDE_VARIABELE: 01.859 bestuur / beheerder (in zin)]</w:t>
      </w:r>
      <w:r>
        <w:rPr>
          <w:b w:val="0"/>
          <w:i w:val="0"/>
          <w:sz w:val="24"/>
          <w:u w:val="none"/>
        </w:rPr>
        <w:t xml:space="preserve"> should prepare </w:t>
      </w:r>
      <w:r>
        <w:rPr>
          <w:b w:val="0"/>
          <w:i w:val="0"/>
          <w:sz w:val="24"/>
          <w:u w:val="none"/>
        </w:rPr>
        <w:t xml:space="preserve">[__MISSENDE_VARIABELE: 01.853 opdrachtobject evt afgekort]</w:t>
      </w:r>
      <w:r>
        <w:rPr>
          <w:b w:val="0"/>
          <w:i w:val="0"/>
          <w:sz w:val="24"/>
          <w:u w:val="none"/>
        </w:rPr>
        <w:t xml:space="preserve"> using the going concern basis of accounting, unless </w:t>
      </w:r>
      <w:r>
        <w:rPr>
          <w:b w:val="0"/>
          <w:i w:val="0"/>
          <w:sz w:val="24"/>
          <w:u w:val="none"/>
        </w:rPr>
        <w:t xml:space="preserve">[__MISSENDE_VARIABELE: 01.859 bestuur / beheerder (in zin)]</w:t>
      </w:r>
      <w:r>
        <w:rPr>
          <w:b w:val="0"/>
          <w:i w:val="0"/>
          <w:sz w:val="24"/>
          <w:u w:val="none"/>
        </w:rPr>
        <w:t xml:space="preserve"> either intends to liquidate </w:t>
      </w:r>
      <w:r>
        <w:rPr>
          <w:b w:val="0"/>
          <w:i w:val="0"/>
          <w:sz w:val="24"/>
          <w:u w:val="none"/>
        </w:rPr>
        <w:t xml:space="preserve">the company</w:t>
      </w:r>
      <w:r>
        <w:rPr>
          <w:b w:val="0"/>
          <w:i w:val="0"/>
          <w:sz w:val="24"/>
          <w:u w:val="none"/>
          <w:vertAlign w:val="superscript"/>
        </w:rPr>
        <w:footnoteReference w:customMarkFollows="off" w:id="7"/>
      </w:r>
      <w:r>
        <w:rPr>
          <w:b w:val="0"/>
          <w:i w:val="0"/>
          <w:sz w:val="24"/>
          <w:u w:val="none"/>
        </w:rPr>
        <w:t xml:space="preserve"> or to cease </w:t>
      </w:r>
      <w:r>
        <w:rPr>
          <w:b w:val="0"/>
          <w:i w:val="0"/>
          <w:sz w:val="24"/>
          <w:u w:val="none"/>
        </w:rPr>
        <w:t xml:space="preserve">operations</w:t>
      </w:r>
      <w:r>
        <w:rPr>
          <w:b w:val="0"/>
          <w:i w:val="0"/>
          <w:sz w:val="24"/>
          <w:u w:val="none"/>
          <w:vertAlign w:val="superscript"/>
        </w:rPr>
        <w:footnoteReference w:customMarkFollows="off" w:id="8"/>
      </w:r>
      <w:r>
        <w:rPr>
          <w:b w:val="0"/>
          <w:i w:val="0"/>
          <w:sz w:val="24"/>
          <w:u w:val="none"/>
        </w:rPr>
        <w:t xml:space="preserve">, or has no realistic alternative but to do so.</w:t>
      </w:r>
      <w:r>
        <w:rPr>
          <w:b w:val="0"/>
          <w:i w:val="0"/>
          <w:sz w:val="24"/>
          <w:u w:val="none"/>
        </w:rPr>
        <w:cr/>
      </w:r>
      <w:r>
        <w:rPr>
          <w:b w:val="0"/>
          <w:i w:val="0"/>
          <w:sz w:val="24"/>
          <w:u w:val="none"/>
        </w:rPr>
        <w:t xml:space="preserve"> </w:t>
      </w:r>
      <w:r>
        <w:rPr>
          <w:b w:val="0"/>
          <w:i w:val="0"/>
          <w:sz w:val="24"/>
          <w:u w:val="none"/>
        </w:rPr>
        <w:t xml:space="preserve">[__MISSENDE_VARIABELE: 01.857 Bestuur/Beheerder begin zin]</w:t>
      </w:r>
      <w:r>
        <w:rPr>
          <w:b w:val="0"/>
          <w:i w:val="0"/>
          <w:sz w:val="24"/>
          <w:u w:val="none"/>
        </w:rPr>
        <w:t xml:space="preserve"> should disclose events and circumstances that may cast significant doubt on </w:t>
      </w:r>
      <w:r>
        <w:rPr>
          <w:b w:val="0"/>
          <w:i w:val="0"/>
          <w:sz w:val="24"/>
          <w:u w:val="none"/>
        </w:rPr>
        <w:t xml:space="preserve">the company's</w:t>
      </w:r>
      <w:r>
        <w:rPr>
          <w:b w:val="0"/>
          <w:i w:val="0"/>
          <w:sz w:val="24"/>
          <w:u w:val="none"/>
          <w:vertAlign w:val="superscript"/>
        </w:rPr>
        <w:footnoteReference w:customMarkFollows="off" w:id="9"/>
      </w:r>
      <w:r>
        <w:rPr>
          <w:b w:val="0"/>
          <w:i w:val="0"/>
          <w:sz w:val="24"/>
          <w:u w:val="none"/>
        </w:rPr>
        <w:t xml:space="preserve"> ability to continue as a going concern in </w:t>
      </w:r>
      <w:r>
        <w:rPr>
          <w:b w:val="0"/>
          <w:i w:val="0"/>
          <w:sz w:val="24"/>
          <w:u w:val="none"/>
        </w:rPr>
        <w:t xml:space="preserve">[__MISSENDE_VARIABELE: 01.853 opdrachtobject evt afgekort]</w:t>
      </w:r>
      <w:r>
        <w:rPr>
          <w:b w:val="0"/>
          <w:i w:val="0"/>
          <w:sz w:val="24"/>
          <w:u w:val="none"/>
        </w:rPr>
        <w:t xml:space="preserve">.</w:t>
      </w:r>
      <w:r>
        <w:rPr>
          <w:b w:val="0"/>
          <w:i w:val="0"/>
          <w:sz w:val="24"/>
          <w:u w:val="none"/>
          <w:vertAlign w:val="superscript"/>
        </w:rPr>
        <w:footnoteReference w:customMarkFollows="off" w:id="10"/>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bij een gebroken boekjaar: for the year ended 30 June YYYY.</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hoe het omvattend document heet waarin de cliënt de jaarrekening opneemt in plaats van 'the annual report' - 'the annual accounts', enz. - en of de accountant via paginanummers naar de jaarrekening wil verwijzen: [optioneel: on page ... up to and including page ...] included in ... (this annual report) [...] NB: Bij XBRL-instances is een verwijzing naar paginanummers zonder betekenis.</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De rechtsvorm alleen toevoegen ingeval sprake is van een beleggingsmaatschappij.</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'Statutaire' is niet van toepassing bij beleggingsfondsen.</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hoe het omvattend document heet waarin de cliënt de jaarrekening opneemt - '(annual) report', 'the annual accounts', enz. De passage 'included in the annual report' kan eventueel vervallen.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Naargelang de situatie aan te passen: trust, union, foundation, enz., en eventueel ook de passage 'the company's ability'.</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Naargelang de situatie aan te passen: trust, union, foundation, enz.</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Naargelang de situatie aan te passen: trust's, union's, foundation's, enz.</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Deze passage alleen laten vervallen wanneer de continuïteitsveronderstelling geen rol speelt in het van toepassing zijnde verslaggevingsstelsel.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530400"/>
    <w:multiLevelType w:val="hybridMultilevel"/>
    <w:tmpl w:val="FF530400"/>
    <w:lvl w:ilvl="0" w:tplc="005404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2025-01-15T14:57:23Z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