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321" w:line="384" w:lineRule="exact"/>
        <w:ind/>
      </w:pPr>
      <w:r>
        <w:rPr>
          <w:b/>
          <w:i w:val="0"/>
          <w:sz w:val="32"/>
          <w:u w:val="none"/>
        </w:rPr>
        <w:t xml:space="preserve">1. (Controle)verklaringen in nieuw format voor verslagperioden die zijn aangevangen op of na 15 december 2020</w:t>
      </w:r>
      <w:r>
        <w:rPr>
          <w:b/>
          <w:i w:val="0"/>
          <w:sz w:val="24"/>
          <w:u w:val="none"/>
        </w:rPr>
        <w:t xml:space="preserve"> </w:t>
      </w:r>
    </w:p>
    <w:p>
      <w:pPr>
        <w:spacing w:after="241" w:line="288" w:lineRule="exact"/>
        <w:ind/>
      </w:pPr>
    </w:p>
    <w:p>
      <w:pPr>
        <w:spacing w:after="241" w:line="288" w:lineRule="exact"/>
        <w:ind/>
      </w:pPr>
      <w:r>
        <w:rPr>
          <w:b w:val="0"/>
          <w:i w:val="0"/>
          <w:sz w:val="24"/>
          <w:u w:val="none"/>
        </w:rPr>
        <w:t xml:space="preserve">NB: Hoofdstuk 1.13 met de controleverklaringen bij een jaarrekening van een beleggingsentiteit vervalt.</w:t>
      </w:r>
      <w:r>
        <w:rPr>
          <w:b w:val="0"/>
          <w:i w:val="0"/>
          <w:sz w:val="24"/>
          <w:u w:val="none"/>
        </w:rPr>
        <w:cr/>
      </w:r>
      <w:r>
        <w:rPr>
          <w:b w:val="0"/>
          <w:i w:val="0"/>
          <w:sz w:val="24"/>
          <w:u w:val="none"/>
        </w:rPr>
        <w:t xml:space="preserve">
Dit komt doordat de verwijzing naar de Wft in het geldende stelsel inzake financiële verslaggeving is vervallen. Voor een controleverklaring bij een jaarrekening van een beleggingsentiteit volstaan de controleverklaringen in HRA deel 3, sectie II, hoofdstukken 1.1 en 1.2.</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cr/>
      </w:r>
      <w:r>
        <w:rPr>
          <w:b w:val="0"/>
          <w:i w:val="0"/>
          <w:sz w:val="24"/>
          <w:u w:val="none"/>
        </w:rPr>
        <w:t xml:space="preserve">
Deze specifieke voorbeeldtekst geldt </w:t>
      </w:r>
      <w:r>
        <w:rPr>
          <w:b/>
          <w:i w:val="0"/>
          <w:sz w:val="24"/>
          <w:u w:val="none"/>
        </w:rPr>
        <w:t xml:space="preserve">uitsluitend</w:t>
      </w:r>
      <w:r>
        <w:rPr>
          <w:b w:val="0"/>
          <w:i w:val="0"/>
          <w:sz w:val="24"/>
          <w:u w:val="none"/>
        </w:rPr>
        <w:t xml:space="preserve"> voor een beleggingsinstelling of instelling voor collectieve belegging in effecten (icbe) zijn waarvoor de beheerder (van een beleggingsinstelling of icbe) dan wel de beleggingsinstelling of icbe zelf een vergunning heeft ontvangen van de AFM zoals bedoeld in art. 2:65 Wft (beleggingsinstelling) of art. 2:69b (icbe). Het begrip 'beleggingsentiteit' in de voorbeeldtekst omvat uitsluitend deze beleggingsinstellingen en icbe's en is daarmee minder uitgebreid dan de definitie in RJ615 Beleggingsentiteiten.</w:t>
      </w:r>
      <w:r>
        <w:rPr>
          <w:b w:val="0"/>
          <w:i w:val="0"/>
          <w:sz w:val="24"/>
          <w:u w:val="none"/>
        </w:rPr>
        <w:cr/>
      </w:r>
      <w:r>
        <w:rPr>
          <w:b w:val="0"/>
          <w:i w:val="0"/>
          <w:sz w:val="24"/>
          <w:u w:val="none"/>
        </w:rPr>
        <w:t xml:space="preserve"> </w:t>
      </w:r>
      <w:r>
        <w:rPr>
          <w:b w:val="0"/>
          <w:i w:val="0"/>
          <w:sz w:val="24"/>
          <w:u w:val="none"/>
        </w:rPr>
        <w:cr/>
      </w:r>
      <w:r>
        <w:rPr>
          <w:b w:val="0"/>
          <w:i w:val="0"/>
          <w:sz w:val="24"/>
          <w:u w:val="none"/>
        </w:rPr>
        <w:t xml:space="preserve">
Aanwijzing bij gebruik:</w:t>
      </w:r>
      <w:r>
        <w:rPr>
          <w:b w:val="0"/>
          <w:i w:val="0"/>
          <w:sz w:val="24"/>
          <w:u w:val="none"/>
        </w:rPr>
        <w:cr/>
      </w:r>
      <w:r>
        <w:rPr>
          <w:b w:val="0"/>
          <w:i w:val="0"/>
          <w:sz w:val="24"/>
          <w:u w:val="none"/>
        </w:rPr>
        <w:t xml:space="preserve">
Een beleggingsentiteit kan een beleggingsinstelling of een icbe zijn. Wanneer de beleggingsinstelling of icbe rechtspersoonlijkheid heeft, is sprake van een maatschappij (met een bestuur of directie) en bij geen rechtspersoonlijkheid is sprake van een fonds (met een beheerder).</w:t>
      </w:r>
      <w:r>
        <w:rPr>
          <w:b w:val="0"/>
          <w:i w:val="0"/>
          <w:sz w:val="24"/>
          <w:u w:val="none"/>
        </w:rPr>
        <w:cr/>
      </w:r>
      <w:r>
        <w:rPr>
          <w:b w:val="0"/>
          <w:i w:val="0"/>
          <w:sz w:val="24"/>
          <w:u w:val="none"/>
        </w:rPr>
        <w:t xml:space="preserve"> </w:t>
      </w:r>
      <w:r>
        <w:rPr>
          <w:b w:val="0"/>
          <w:i w:val="0"/>
          <w:sz w:val="24"/>
          <w:u w:val="none"/>
        </w:rPr>
        <w:cr/>
      </w:r>
      <w:r>
        <w:rPr>
          <w:b w:val="0"/>
          <w:i w:val="0"/>
          <w:sz w:val="24"/>
          <w:u w:val="none"/>
        </w:rPr>
        <w:t xml:space="preserve">
Denk bij een fonds aan diverse passages, waaronder: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aanhef ('Aan: de participanten en de beheerder (en evt. toezichthoudend orgaan) van ... (fonds));</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'andere informatie' ('verslag van de beheerder');</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specifieke aanduidingen voor beleggingsentiteiten met en zonder rechtspersoonlijkheid en de term beleggingsentiteit in plaats van vennootschap, onderneming en dergelijke, zie aanwijzingen in de voetnoten van deze verklaring.</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[__MISSENDE_VARIABELE: U.00 Opdrachtgever(s)]</w:t>
      </w:r>
      <w:r>
        <w:rPr>
          <w:b w:val="0"/>
          <w:i w:val="0"/>
          <w:sz w:val="24"/>
          <w:u w:val="none"/>
        </w:rPr>
        <w:t xml:space="preserve"> </w:t>
      </w:r>
    </w:p>
    <w:p>
      <w:pPr>
        <w:spacing w:after="1" w:line="288" w:lineRule="exact"/>
        <w:ind/>
      </w:pPr>
      <w:r>
        <w:rPr>
          <w:b/>
          <w:i w:val="0"/>
          <w:sz w:val="24"/>
          <w:u w:val="none"/>
        </w:rPr>
        <w:t xml:space="preserve">Report on the audit of the </w:t>
      </w:r>
      <w:r>
        <w:rPr>
          <w:b/>
          <w:i w:val="0"/>
          <w:sz w:val="24"/>
          <w:u w:val="none"/>
        </w:rPr>
        <w:t xml:space="preserve">[__MISSENDE_VARIABELE: 01.115 Paragraafkop betreffende jaarrekening]</w:t>
      </w:r>
      <w:r>
        <w:rPr>
          <w:b/>
          <w:i w:val="0"/>
          <w:sz w:val="24"/>
          <w:u w:val="none"/>
        </w:rPr>
        <w:t xml:space="preserve"> </w:t>
      </w:r>
      <w:r>
        <w:rPr>
          <w:b/>
          <w:i w:val="0"/>
          <w:sz w:val="24"/>
          <w:u w:val="none"/>
        </w:rPr>
        <w:t xml:space="preserve">YYYY</w:t>
      </w:r>
      <w:r>
        <w:rPr>
          <w:b/>
          <w:i w:val="0"/>
          <w:sz w:val="24"/>
          <w:u w:val="none"/>
          <w:vertAlign w:val="superscript"/>
        </w:rPr>
        <w:footnoteReference w:customMarkFollows="off" w:id="1"/>
      </w:r>
      <w:r>
        <w:rPr>
          <w:b/>
          <w:i w:val="0"/>
          <w:sz w:val="24"/>
          <w:u w:val="none"/>
        </w:rPr>
        <w:t xml:space="preserve"> </w:t>
      </w:r>
      <w:r>
        <w:rPr>
          <w:b/>
          <w:i w:val="0"/>
          <w:sz w:val="24"/>
          <w:u w:val="none"/>
        </w:rPr>
        <w:t xml:space="preserve">included in the annual report</w:t>
      </w:r>
      <w:r>
        <w:rPr>
          <w:b/>
          <w:i w:val="0"/>
          <w:sz w:val="24"/>
          <w:u w:val="none"/>
          <w:vertAlign w:val="superscript"/>
        </w:rPr>
        <w:footnoteReference w:customMarkFollows="off" w:id="2"/>
      </w:r>
      <w:r>
        <w:rPr>
          <w:b/>
          <w:i w:val="0"/>
          <w:sz w:val="24"/>
          <w:u w:val="none"/>
        </w:rPr>
        <w:t xml:space="preserve"> </w:t>
      </w:r>
    </w:p>
    <w:p>
      <w:pPr>
        <w:spacing w:after="1" w:line="288" w:lineRule="exact"/>
        <w:ind/>
      </w:pPr>
      <w:r>
        <w:rPr>
          <w:b/>
          <w:i w:val="0"/>
          <w:sz w:val="24"/>
          <w:u w:val="none"/>
        </w:rPr>
        <w:t xml:space="preserve">Our opinion</w:t>
      </w:r>
    </w:p>
    <w:p>
      <w:pPr>
        <w:spacing w:after="241" w:line="288" w:lineRule="exact"/>
        <w:ind/>
      </w:pPr>
      <w:r>
        <w:rPr>
          <w:b w:val="0"/>
          <w:i w:val="0"/>
          <w:sz w:val="24"/>
          <w:u w:val="none"/>
        </w:rPr>
        <w:t xml:space="preserve">We have</w:t>
      </w:r>
      <w:r>
        <w:rPr>
          <w:b w:val="0"/>
          <w:i w:val="0"/>
          <w:sz w:val="24"/>
          <w:u w:val="none"/>
        </w:rPr>
        <w:t xml:space="preserve"> </w:t>
      </w:r>
      <w:r>
        <w:rPr>
          <w:b w:val="0"/>
          <w:i w:val="0"/>
          <w:sz w:val="24"/>
          <w:u w:val="none"/>
        </w:rPr>
        <w:t xml:space="preserve">audited</w:t>
      </w:r>
      <w:r>
        <w:rPr>
          <w:b w:val="0"/>
          <w:i w:val="0"/>
          <w:sz w:val="24"/>
          <w:u w:val="none"/>
        </w:rPr>
        <w:t xml:space="preserve"> </w:t>
      </w:r>
      <w:r>
        <w:rPr>
          <w:b w:val="0"/>
          <w:i w:val="0"/>
          <w:sz w:val="24"/>
          <w:u w:val="none"/>
        </w:rPr>
        <w:t xml:space="preserve">[__MISSENDE_VARIABELE: 01.123 inleiding oordeel: lidw en object (XBRL); NB, niet actief: staten!]</w:t>
      </w:r>
      <w:r>
        <w:rPr>
          <w:b w:val="0"/>
          <w:i w:val="0"/>
          <w:sz w:val="24"/>
          <w:u w:val="none"/>
        </w:rPr>
        <w:t xml:space="preserve"> of </w:t>
      </w:r>
      <w:r>
        <w:rPr>
          <w:b w:val="0"/>
          <w:i w:val="0"/>
          <w:sz w:val="24"/>
          <w:u w:val="none"/>
        </w:rPr>
        <w:t xml:space="preserve">... (naam en rechtsvorm beleggingsentiteit(en))</w:t>
      </w:r>
      <w:r>
        <w:rPr>
          <w:b w:val="0"/>
          <w:i w:val="0"/>
          <w:sz w:val="24"/>
          <w:u w:val="none"/>
          <w:vertAlign w:val="superscript"/>
        </w:rPr>
        <w:footnoteReference w:customMarkFollows="off" w:id="3"/>
      </w:r>
      <w:r>
        <w:rPr>
          <w:b w:val="0"/>
          <w:i w:val="0"/>
          <w:sz w:val="24"/>
          <w:u w:val="none"/>
        </w:rPr>
        <w:t xml:space="preserve"> based in </w:t>
      </w:r>
      <w:r>
        <w:rPr>
          <w:b w:val="0"/>
          <w:i w:val="0"/>
          <w:sz w:val="24"/>
          <w:u w:val="none"/>
        </w:rPr>
        <w:t xml:space="preserve">... ((statutaire) vestigingsplaats beleggingsentiteit)</w:t>
      </w:r>
      <w:r>
        <w:rPr>
          <w:b w:val="0"/>
          <w:i w:val="0"/>
          <w:sz w:val="24"/>
          <w:u w:val="none"/>
          <w:vertAlign w:val="superscript"/>
        </w:rPr>
        <w:footnoteReference w:customMarkFollows="off" w:id="4"/>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opinion</w:t>
      </w:r>
    </w:p>
    <w:p>
      <w:pPr>
        <w:spacing w:after="241" w:line="288" w:lineRule="exact"/>
        <w:ind/>
      </w:pPr>
      <w:r>
        <w:rPr>
          <w:b w:val="0"/>
          <w:i w:val="0"/>
          <w:sz w:val="24"/>
          <w:u w:val="none"/>
        </w:rPr>
        <w:t xml:space="preserve">We conducted our audit in accordance with Dutch law, </w:t>
      </w:r>
      <w:r>
        <w:rPr>
          <w:b w:val="0"/>
          <w:i w:val="0"/>
          <w:sz w:val="24"/>
          <w:u w:val="none"/>
        </w:rPr>
        <w:t xml:space="preserve">including the Dutch Standards on Auditing</w:t>
      </w:r>
      <w:r>
        <w:rPr>
          <w:b w:val="0"/>
          <w:i w:val="0"/>
          <w:sz w:val="24"/>
          <w:u w:val="none"/>
          <w:vertAlign w:val="superscript"/>
        </w:rPr>
        <w:footnoteReference w:customMarkFollows="off" w:id="5"/>
      </w:r>
      <w:r>
        <w:rPr>
          <w:b w:val="0"/>
          <w:i w:val="0"/>
          <w:sz w:val="24"/>
          <w:u w:val="none"/>
        </w:rPr>
        <w:t xml:space="preserve">. Our responsibilities under those standards are further described in the 'Our responsibilities for the audit of </w:t>
      </w:r>
      <w:r>
        <w:rPr>
          <w:b w:val="0"/>
          <w:i w:val="0"/>
          <w:sz w:val="24"/>
          <w:u w:val="none"/>
        </w:rPr>
        <w:t xml:space="preserve">[__MISSENDE_VARIABELE: 01.313 Opdrachtobject in basis voor oordeel]</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beleggingsentiteit(en))</w:t>
      </w:r>
      <w:r>
        <w:rPr>
          <w:b w:val="0"/>
          <w:i w:val="0"/>
          <w:sz w:val="24"/>
          <w:u w:val="none"/>
        </w:rPr>
        <w:t xml:space="preserve"> </w:t>
      </w:r>
      <w:r>
        <w:rPr>
          <w:b w:val="0"/>
          <w:i w:val="0"/>
          <w:sz w:val="24"/>
          <w:u w:val="none"/>
        </w:rPr>
        <w:t xml:space="preserve">[__MISSENDE_VARIABELE: 01.321 EU-vo, normen onafh. in basis voor oordeel]</w:t>
      </w:r>
      <w:r>
        <w:rPr>
          <w:b w:val="0"/>
          <w:i w:val="0"/>
          <w:sz w:val="24"/>
          <w:u w:val="none"/>
        </w:rPr>
        <w:t xml:space="preserve">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for Professional Accountants).
</w:t>
      </w:r>
    </w:p>
    <w:p>
      <w:pPr>
        <w:spacing w:after="241" w:line="288" w:lineRule="exact"/>
        <w:ind/>
      </w:pPr>
      <w:r>
        <w:rPr>
          <w:b w:val="0"/>
          <w:i w:val="0"/>
          <w:sz w:val="24"/>
          <w:u w:val="none"/>
        </w:rPr>
        <w:t xml:space="preserve"> We believe the audit evidence we have obtained is sufficient and appropriate to provide a basis for our </w:t>
      </w:r>
      <w:r>
        <w:rPr>
          <w:b w:val="0"/>
          <w:i w:val="0"/>
          <w:sz w:val="24"/>
          <w:u w:val="none"/>
        </w:rPr>
        <w:t xml:space="preserve">opinion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Report on the other information included in the annual report</w:t>
      </w:r>
      <w:r>
        <w:rPr>
          <w:b/>
          <w:i w:val="0"/>
          <w:sz w:val="24"/>
          <w:u w:val="none"/>
          <w:vertAlign w:val="superscript"/>
        </w:rPr>
        <w:footnoteReference w:customMarkFollows="off" w:id="6"/>
      </w:r>
      <w:r>
        <w:rPr>
          <w:b/>
          <w:i w:val="0"/>
          <w:sz w:val="24"/>
          <w:u w:val="none"/>
        </w:rPr>
        <w:t xml:space="preserve"> </w:t>
      </w:r>
    </w:p>
    <w:p>
      <w:pPr>
        <w:spacing w:after="241" w:line="288" w:lineRule="exact"/>
        <w:ind/>
      </w:pPr>
      <w:r>
        <w:rPr>
          <w:b w:val="0"/>
          <w:i w:val="0"/>
          <w:sz w:val="24"/>
          <w:u w:val="none"/>
        </w:rPr>
        <w:t xml:space="preserve"> </w:t>
      </w:r>
    </w:p>
    <w:p>
      <w:pPr>
        <w:spacing w:after="241" w:line="288" w:lineRule="exact"/>
        <w:ind/>
      </w:pPr>
      <w:r>
        <w:rPr>
          <w:b w:val="0"/>
          <w:i w:val="0"/>
          <w:sz w:val="24"/>
          <w:u w:val="none"/>
        </w:rPr>
        <w:t xml:space="preserve">[__MISSENDE_VARIABELE: 01.569 Andere info aanwezig]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the following procedures performed, we conclude that the other information:</w:t>
      </w:r>
      <w:r>
        <w:rPr>
          <w:b w:val="0"/>
          <w:i w:val="0"/>
          <w:sz w:val="24"/>
          <w:u w:val="none"/>
        </w:rPr>
        <w:cr/>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have read the other information. Based on our knowledge and understanding obtained through our audit of the financial statements or otherwise, we have considered whether the other information contains material misstatements.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By performing these procedures, we comply with the requirements of Part 9 of Book 2 of the Dutch Civil Code and the Dutch Standard 720.</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Description of responsibilities regarding the </w:t>
      </w:r>
      <w:r>
        <w:rPr>
          <w:b/>
          <w:i w:val="0"/>
          <w:sz w:val="24"/>
          <w:u w:val="none"/>
        </w:rPr>
        <w:t xml:space="preserve">[__MISSENDE_VARIABELE: 01.115 Paragraafkop betreffende jaarrekening]</w:t>
      </w:r>
      <w:r>
        <w:rPr>
          <w:b/>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[__MISSENDE_VARIABELE: 01.829 bestuur/beheerder (en evt rvc) in paragraafkop Verantwoordelijkhdn]</w:t>
      </w:r>
      <w:r>
        <w:rPr>
          <w:b/>
          <w:i w:val="0"/>
          <w:sz w:val="24"/>
          <w:u w:val="none"/>
        </w:rPr>
        <w:t xml:space="preserve"> for </w:t>
      </w:r>
      <w:r>
        <w:rPr>
          <w:b/>
          <w:i w:val="0"/>
          <w:sz w:val="24"/>
          <w:u w:val="none"/>
        </w:rPr>
        <w:t xml:space="preserve">[__MISSENDE_VARIABELE: 01.853 opdrachtobject evt afgekort]</w:t>
      </w:r>
    </w:p>
    <w:p>
      <w:pPr>
        <w:spacing w:after="241" w:line="288" w:lineRule="exact"/>
        <w:ind/>
      </w:pPr>
      <w:r>
        <w:rPr>
          <w:b w:val="0"/>
          <w:i w:val="0"/>
          <w:sz w:val="24"/>
          <w:u w:val="none"/>
        </w:rPr>
        <w:t xml:space="preserve">Management</w:t>
      </w:r>
      <w:r>
        <w:rPr>
          <w:b w:val="0"/>
          <w:i w:val="0"/>
          <w:sz w:val="24"/>
          <w:u w:val="none"/>
          <w:vertAlign w:val="superscript"/>
        </w:rPr>
        <w:footnoteReference w:customMarkFollows="off" w:id="7"/>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[__MISSENDE_VARIABELE: 01.847 stelsels in paragraaf Verantwoordelijkheden bestuur]</w:t>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w:t>
      </w:r>
      <w:r>
        <w:rPr>
          <w:b w:val="0"/>
          <w:i w:val="0"/>
          <w:sz w:val="24"/>
          <w:u w:val="none"/>
        </w:rPr>
        <w:t xml:space="preserve">management</w:t>
      </w:r>
      <w:r>
        <w:rPr>
          <w:b w:val="0"/>
          <w:i w:val="0"/>
          <w:sz w:val="24"/>
          <w:u w:val="none"/>
        </w:rPr>
        <w:t xml:space="preserve"> determines is necessary to enable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that </w:t>
      </w:r>
      <w:r>
        <w:rPr>
          <w:b w:val="0"/>
          <w:i w:val="0"/>
          <w:sz w:val="24"/>
          <w:u w:val="none"/>
        </w:rPr>
        <w:t xml:space="preserve">[__MISSENDE_VARIABELE: 01.861EN is/are]</w:t>
      </w:r>
      <w:r>
        <w:rPr>
          <w:b w:val="0"/>
          <w:i w:val="0"/>
          <w:sz w:val="24"/>
          <w:u w:val="none"/>
        </w:rPr>
        <w:t xml:space="preserve"> free from material misstatement, whether due to fraud or error.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As part of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management</w:t>
      </w:r>
      <w:r>
        <w:rPr>
          <w:b w:val="0"/>
          <w:i w:val="0"/>
          <w:sz w:val="24"/>
          <w:u w:val="none"/>
        </w:rPr>
        <w:t xml:space="preserve"> is responsible for assessing </w:t>
      </w:r>
      <w:r>
        <w:rPr>
          <w:b w:val="0"/>
          <w:i w:val="0"/>
          <w:sz w:val="24"/>
          <w:u w:val="none"/>
        </w:rPr>
        <w:t xml:space="preserve">the company's</w:t>
      </w:r>
      <w:r>
        <w:rPr>
          <w:b w:val="0"/>
          <w:i w:val="0"/>
          <w:sz w:val="24"/>
          <w:u w:val="none"/>
          <w:vertAlign w:val="superscript"/>
        </w:rPr>
        <w:footnoteReference w:customMarkFollows="off" w:id="8"/>
      </w:r>
      <w:r>
        <w:rPr>
          <w:b w:val="0"/>
          <w:i w:val="0"/>
          <w:sz w:val="24"/>
          <w:u w:val="none"/>
        </w:rPr>
        <w:t xml:space="preserve"> ability to continue as a going concern. Based on </w:t>
      </w:r>
      <w:r>
        <w:rPr>
          <w:b w:val="0"/>
          <w:i w:val="0"/>
          <w:sz w:val="24"/>
          <w:u w:val="none"/>
        </w:rPr>
        <w:t xml:space="preserve">[__MISSENDE_VARIABELE: 01.851 genoemde stelsel(s) in par. Verantw bestuur]</w:t>
      </w:r>
      <w:r>
        <w:rPr>
          <w:b w:val="0"/>
          <w:i w:val="0"/>
          <w:sz w:val="24"/>
          <w:u w:val="none"/>
        </w:rPr>
        <w:t xml:space="preserve">, </w:t>
      </w:r>
      <w:r>
        <w:rPr>
          <w:b w:val="0"/>
          <w:i w:val="0"/>
          <w:sz w:val="24"/>
          <w:u w:val="none"/>
        </w:rPr>
        <w:t xml:space="preserve">management</w:t>
      </w:r>
      <w:r>
        <w:rPr>
          <w:b w:val="0"/>
          <w:i w:val="0"/>
          <w:sz w:val="24"/>
          <w:u w:val="none"/>
        </w:rPr>
        <w:t xml:space="preserve"> should prepare </w:t>
      </w:r>
      <w:r>
        <w:rPr>
          <w:b w:val="0"/>
          <w:i w:val="0"/>
          <w:sz w:val="24"/>
          <w:u w:val="none"/>
        </w:rPr>
        <w:t xml:space="preserve">[__MISSENDE_VARIABELE: 01.853 opdrachtobject evt afgekort]</w:t>
      </w:r>
      <w:r>
        <w:rPr>
          <w:b w:val="0"/>
          <w:i w:val="0"/>
          <w:sz w:val="24"/>
          <w:u w:val="none"/>
        </w:rPr>
        <w:t xml:space="preserve"> using the going concern basis of accounting, unless </w:t>
      </w:r>
      <w:r>
        <w:rPr>
          <w:b w:val="0"/>
          <w:i w:val="0"/>
          <w:sz w:val="24"/>
          <w:u w:val="none"/>
        </w:rPr>
        <w:t xml:space="preserve">management</w:t>
      </w:r>
      <w:r>
        <w:rPr>
          <w:b w:val="0"/>
          <w:i w:val="0"/>
          <w:sz w:val="24"/>
          <w:u w:val="none"/>
        </w:rPr>
        <w:t xml:space="preserve"> either intends to liquidate </w:t>
      </w:r>
      <w:r>
        <w:rPr>
          <w:b w:val="0"/>
          <w:i w:val="0"/>
          <w:sz w:val="24"/>
          <w:u w:val="none"/>
        </w:rPr>
        <w:t xml:space="preserve">the company</w:t>
      </w:r>
      <w:r>
        <w:rPr>
          <w:b w:val="0"/>
          <w:i w:val="0"/>
          <w:sz w:val="24"/>
          <w:u w:val="none"/>
          <w:vertAlign w:val="superscript"/>
        </w:rPr>
        <w:footnoteReference w:customMarkFollows="off" w:id="9"/>
      </w:r>
      <w:r>
        <w:rPr>
          <w:b w:val="0"/>
          <w:i w:val="0"/>
          <w:sz w:val="24"/>
          <w:u w:val="none"/>
        </w:rPr>
        <w:t xml:space="preserve"> or to cease </w:t>
      </w:r>
      <w:r>
        <w:rPr>
          <w:b w:val="0"/>
          <w:i w:val="0"/>
          <w:sz w:val="24"/>
          <w:u w:val="none"/>
        </w:rPr>
        <w:t xml:space="preserve">operations</w:t>
      </w:r>
      <w:r>
        <w:rPr>
          <w:b w:val="0"/>
          <w:i w:val="0"/>
          <w:sz w:val="24"/>
          <w:u w:val="none"/>
          <w:vertAlign w:val="superscript"/>
        </w:rPr>
        <w:footnoteReference w:customMarkFollows="off" w:id="10"/>
      </w:r>
      <w:r>
        <w:rPr>
          <w:b w:val="0"/>
          <w:i w:val="0"/>
          <w:sz w:val="24"/>
          <w:u w:val="none"/>
        </w:rPr>
        <w:t xml:space="preserve">, or has no realistic alternative but to do so.</w:t>
      </w:r>
      <w:r>
        <w:rPr>
          <w:b w:val="0"/>
          <w:i w:val="0"/>
          <w:sz w:val="24"/>
          <w:u w:val="none"/>
        </w:rPr>
        <w:cr/>
      </w:r>
      <w:r>
        <w:rPr>
          <w:b w:val="0"/>
          <w:i w:val="0"/>
          <w:sz w:val="24"/>
          <w:u w:val="none"/>
        </w:rPr>
        <w:t xml:space="preserve"> </w:t>
      </w:r>
      <w:r>
        <w:rPr>
          <w:b w:val="0"/>
          <w:i w:val="0"/>
          <w:sz w:val="24"/>
          <w:u w:val="none"/>
        </w:rPr>
        <w:t xml:space="preserve">Management</w:t>
      </w:r>
      <w:r>
        <w:rPr>
          <w:b w:val="0"/>
          <w:i w:val="0"/>
          <w:sz w:val="24"/>
          <w:u w:val="none"/>
        </w:rPr>
        <w:t xml:space="preserve"> should disclose events and circumstances that may cast significant doubt on </w:t>
      </w:r>
      <w:r>
        <w:rPr>
          <w:b w:val="0"/>
          <w:i w:val="0"/>
          <w:sz w:val="24"/>
          <w:u w:val="none"/>
        </w:rPr>
        <w:t xml:space="preserve">the company's</w:t>
      </w:r>
      <w:r>
        <w:rPr>
          <w:b w:val="0"/>
          <w:i w:val="0"/>
          <w:sz w:val="24"/>
          <w:u w:val="none"/>
          <w:vertAlign w:val="superscript"/>
        </w:rPr>
        <w:footnoteReference w:customMarkFollows="off" w:id="11"/>
      </w:r>
      <w:r>
        <w:rPr>
          <w:b w:val="0"/>
          <w:i w:val="0"/>
          <w:sz w:val="24"/>
          <w:u w:val="none"/>
        </w:rPr>
        <w:t xml:space="preserve"> ability to continue as a going concern in </w:t>
      </w:r>
      <w:r>
        <w:rPr>
          <w:b w:val="0"/>
          <w:i w:val="0"/>
          <w:sz w:val="24"/>
          <w:u w:val="none"/>
        </w:rPr>
        <w:t xml:space="preserve">[__MISSENDE_VARIABELE: 01.853 opdrachtobject evt afgekort]</w:t>
      </w:r>
      <w:r>
        <w:rPr>
          <w:b w:val="0"/>
          <w:i w:val="0"/>
          <w:sz w:val="24"/>
          <w:u w:val="none"/>
        </w:rPr>
        <w:t xml:space="preserve">.</w:t>
      </w:r>
      <w:r>
        <w:rPr>
          <w:b w:val="0"/>
          <w:i w:val="0"/>
          <w:sz w:val="24"/>
          <w:u w:val="none"/>
          <w:vertAlign w:val="superscript"/>
        </w:rPr>
        <w:footnoteReference w:customMarkFollows="off" w:id="12"/>
      </w:r>
      <w:r>
        <w:rPr>
          <w:b w:val="0"/>
          <w:i w:val="0"/>
          <w:sz w:val="24"/>
          <w:u w:val="none"/>
        </w:rPr>
        <w:t xml:space="preserve"> </w:t>
      </w:r>
    </w:p>
    <w:p>
      <w:pPr>
        <w:spacing w:after="1" w:line="288" w:lineRule="exact"/>
        <w:ind/>
      </w:pPr>
      <w:r>
        <w:rPr>
          <w:b/>
          <w:i w:val="0"/>
          <w:sz w:val="24"/>
          <w:u w:val="none"/>
        </w:rPr>
        <w:t xml:space="preserve">Our responsibilities for the audit of </w:t>
      </w:r>
      <w:r>
        <w:rPr>
          <w:b/>
          <w:i w:val="0"/>
          <w:sz w:val="24"/>
          <w:u w:val="none"/>
        </w:rPr>
        <w:t xml:space="preserve">[__MISSENDE_VARIABELE: 01.897 Opdrachtobject in paragraafkop verantw. acct]</w:t>
      </w:r>
    </w:p>
    <w:p>
      <w:pPr>
        <w:spacing w:after="241" w:line="288" w:lineRule="exact"/>
        <w:ind/>
      </w:pPr>
      <w:r>
        <w:rPr>
          <w:b w:val="0"/>
          <w:i w:val="0"/>
          <w:sz w:val="24"/>
          <w:u w:val="none"/>
        </w:rPr>
        <w:t xml:space="preserve">Our objective is to plan and perform the audit engagement in a manner that allows us to obtain sufficient appropriate audit evidence for our opinion.
</w:t>
      </w:r>
    </w:p>
    <w:p>
      <w:pPr>
        <w:spacing w:after="241" w:line="288" w:lineRule="exact"/>
        <w:ind/>
      </w:pPr>
      <w:r>
        <w:rPr>
          <w:b w:val="0"/>
          <w:i w:val="0"/>
          <w:sz w:val="24"/>
          <w:u w:val="none"/>
        </w:rPr>
        <w:t xml:space="preserve"> Our audit has been performed with a high, but not absolute, level of assurance, which means we may not detect all material misstatements, whether due to fraud or error, during our audit.
</w:t>
      </w:r>
    </w:p>
    <w:p>
      <w:pPr>
        <w:spacing w:after="241" w:line="288" w:lineRule="exact"/>
        <w:ind/>
      </w:pPr>
      <w:r>
        <w:rPr>
          <w:b w:val="0"/>
          <w:i w:val="0"/>
          <w:sz w:val="24"/>
          <w:u w:val="none"/>
        </w:rPr>
        <w:t xml:space="preserve">Misstatements can arise from fraud or error and are considered material if, individually or in the aggregate, they could reasonably be expected to influence the economic decisions of users taken on the basis of </w:t>
      </w:r>
      <w:r>
        <w:rPr>
          <w:b w:val="0"/>
          <w:i w:val="0"/>
          <w:sz w:val="24"/>
          <w:u w:val="none"/>
        </w:rPr>
        <w:t xml:space="preserve">[__MISSENDE_VARIABELE: 01.899 Opdrachtobject met aanwijzend vnw]</w:t>
      </w:r>
      <w:r>
        <w:rPr>
          <w:b w:val="0"/>
          <w:i w:val="0"/>
          <w:sz w:val="24"/>
          <w:u w:val="none"/>
        </w:rPr>
        <w:t xml:space="preserve">. The materiality affects the nature, timing and extent of our audit procedures and the evaluation of the effect of identified misstatements on our opinion.</w:t>
      </w:r>
      <w:r>
        <w:rPr>
          <w:b w:val="0"/>
          <w:i w:val="0"/>
          <w:sz w:val="24"/>
          <w:u w:val="none"/>
          <w:vertAlign w:val="superscript"/>
        </w:rPr>
        <w:footnoteReference w:customMarkFollows="off" w:id="1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bij een gebroken boekjaar: for the year ended 30 June YYYY.</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hoe het omvattend document heet waarin de cliënt de jaarrekening opneemt in plaats van 'the annual report' - 'the annual accounts', enz. - en of de accountant via paginanummers naar de jaarrekening wil verwijzen: [optioneel: on page ... up to and including page ...] included in ... (this annual report) [...] NB: Bij XBRL-instances is een verwijzing naar paginanummers zonder betekenis.</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De rechtsvorm alleen toevoegen ingeval sprake is van een beleggingsmaatschappij.</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'Statutaire' is niet van toepassing bij beleggingsfondsen.</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vullen met andere geldende wet- en regelgeving, zoals een controleprotocol.</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Aan te passen aan hoe het omvattend document heet waarin de cliënt de jaarrekening opneemt - '(annual) report', 'the annual accounts', enz. De passage 'included in the annual report' kan eventueel vervallen.</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Naargelang de situatie aan te passen, bijvoorbeeld 'The board'.</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trust, union, foundation, enz., en eventueel ook de passage 'the company's ability'.</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Naargelang de situatie aan te passen: trust, union, foundation, enz.</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Naargelang de situatie aan te passen.</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Naargelang de situatie aan te passen: trust's, union's, foundation's, enz.</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Deze passage alleen laten vervallen wanneer de continuïteitsveronderstelling geen rol speelt in het van toepassing zijnde verslaggevingsstelsel.</w:t>
      </w:r>
    </w:p>
  </w:footnote>
  <w:footnote w:type="normal" w:id="13">
    <w:p>
      <w:pPr>
        <w:spacing w:after="1" w:line="240" w:lineRule="exact"/>
        <w:ind w:left="566" w:hanging="566"/>
      </w:pPr>
      <w:r>
        <w:rPr>
          <w:b w:val="0"/>
          <w:i w:val="0"/>
          <w:sz w:val="20"/>
          <w:u w:val="none"/>
        </w:rPr>
        <w:t xml:space="preserve">13.</w:t>
      </w:r>
      <w:r>
        <w:rPr>
          <w:b w:val="0"/>
          <w:i w:val="0"/>
          <w:sz w:val="20"/>
          <w:u w:val="none"/>
        </w:rPr>
        <w:tab/>
      </w:r>
      <w:r>
        <w:rPr>
          <w:b w:val="0"/>
          <w:i w:val="0"/>
          <w:sz w:val="20"/>
          <w:u w:val="none"/>
        </w:rPr>
        <w:t xml:space="preserve">Uitgezonderd bij XBRL-instances:</w:t>
      </w:r>
      <w:r>
        <w:rPr>
          <w:b w:val="0"/>
          <w:i w:val="0"/>
          <w:sz w:val="20"/>
          <w:u w:val="none"/>
        </w:rPr>
        <w:cr/>
      </w:r>
      <w:r>
        <w:rPr>
          <w:b w:val="0"/>
          <w:i w:val="0"/>
          <w:sz w:val="20"/>
          <w:u w:val="none"/>
        </w:rPr>
        <w:t xml:space="preserve">
De tekst hierna, vanaf de laatste alinea vóór de bulletsgewijze opsomming, kan worden weggelaten bij verwijzing naar de website van de NBA waar deze tekst wordt opgenomen of naar een bijlage waarin deze tekst wordt opgenomen.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530400"/>
    <w:multiLevelType w:val="hybridMultilevel"/>
    <w:tmpl w:val="D2530400"/>
    <w:lvl w:ilvl="0" w:tplc="D35304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2025-01-15T14:53:09Z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