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NB: Omdat in Titel 9 Boek 2 BW wettelijke eisen ontbreken om te rapporteren over de overige gegevens en het bestuursverslag ingeval van een beoordeling of een andere opdracht dan een wettelijke controle en Standaard 720 ook niet van toepassing is, ontbreekt de paragraaf 'Verklaring over de in het jaarverslag opgenomen andere informatie' in de voorbeeldrapportage. Ingeval deze paragraaf in zeer bijzondere omstandigheden toch zou gelden (bijv. als overeengekomen in de opdrachtbevestiging), zou een kop 'Verklaring over de in het jaarverslag opgenomen jaarrekening' nodig zijn aan het begin van de verklaring.</w:t>
      </w: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financial statements</w:t>
      </w:r>
      <w:r>
        <w:rPr>
          <w:b w:val="0"/>
          <w:i w:val="0"/>
          <w:sz w:val="24"/>
          <w:u w:val="none"/>
        </w:rPr>
        <w:t xml:space="preserve"> </w:t>
      </w:r>
      <w:r>
        <w:rPr>
          <w:b w:val="0"/>
          <w:i w:val="0"/>
          <w:sz w:val="24"/>
          <w:u w:val="none"/>
        </w:rPr>
        <w:t xml:space="preserve">YYYY (of voor een gebroken boekjaar: for the year ended 30 June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accompanying financial statements</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do not give a true and fair view of the financial position of ... (naam entiteit(en)) as at 31 December YYYY and of its result for the year then ended in accordance with Part 9 of Book 2 of the Dutch Civil Code</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financial statements comprise: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balance sheet as at 31 December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profit and loss account for YYYY;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a summary of the accounting policies and other explanatory information.</w:t>
      </w:r>
      <w:r>
        <w:rPr>
          <w:b w:val="0"/>
          <w:i w:val="0"/>
          <w:sz w:val="24"/>
          <w:u w:val="none"/>
        </w:rPr>
        <w:t xml:space="preserve"> </w:t>
      </w:r>
      <w:r>
        <w:rPr>
          <w:b w:val="0"/>
          <w:i w:val="0"/>
          <w:sz w:val="24"/>
          <w:u w:val="none"/>
          <w:vertAlign w:val="superscript"/>
        </w:rPr>
        <w:footnoteReference w:customMarkFollows="off" w:id="3"/>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2400 'Opdrachten tot het beoordelen van financiële overzichten' (engagements to review financial statements)</w:t>
      </w:r>
      <w:r>
        <w:rPr>
          <w:b w:val="0"/>
          <w:i w:val="0"/>
          <w:sz w:val="24"/>
          <w:u w:val="none"/>
        </w:rPr>
        <w:t xml:space="preserve">. A </w:t>
      </w:r>
      <w:r>
        <w:rPr>
          <w:b w:val="0"/>
          <w:i w:val="0"/>
          <w:sz w:val="24"/>
          <w:u w:val="none"/>
        </w:rPr>
        <w:t xml:space="preserve">review of financial statements</w:t>
      </w:r>
      <w:r>
        <w:rPr>
          <w:b w:val="0"/>
          <w:i w:val="0"/>
          <w:sz w:val="24"/>
          <w:u w:val="none"/>
        </w:rPr>
        <w:t xml:space="preserve"> in accordance with the Dutch Standard </w:t>
      </w:r>
      <w:r>
        <w:rPr>
          <w:b w:val="0"/>
          <w:i w:val="0"/>
          <w:sz w:val="24"/>
          <w:u w:val="none"/>
        </w:rPr>
        <w:t xml:space="preserve">2400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financial statements</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Emphasis of uncertainty with respect to a lawsuit</w:t>
      </w:r>
    </w:p>
    <w:p>
      <w:pPr>
        <w:spacing w:after="241" w:line="288" w:lineRule="exact"/>
        <w:ind/>
      </w:pPr>
      <w:r>
        <w:rPr>
          <w:b w:val="0"/>
          <w:i w:val="0"/>
          <w:sz w:val="24"/>
          <w:u w:val="none"/>
        </w:rPr>
        <w:t xml:space="preserve">We draw attention to note X to the financial statements which describes the uncertainty related to the outcome of the lawsuit filed against the company by XYZ Company.</w:t>
      </w:r>
      <w:r>
        <w:rPr>
          <w:b w:val="0"/>
          <w:i w:val="0"/>
          <w:sz w:val="24"/>
          <w:u w:val="none"/>
        </w:rPr>
        <w:t xml:space="preserve"> Our conclusion is not modified in respect of this matter.</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4"/>
      </w:r>
      <w:r>
        <w:rPr>
          <w:b/>
          <w:i w:val="0"/>
          <w:sz w:val="24"/>
          <w:u w:val="none"/>
        </w:rPr>
        <w:t xml:space="preserve"> for </w:t>
      </w:r>
      <w:r>
        <w:rPr>
          <w:b/>
          <w:i w:val="0"/>
          <w:sz w:val="24"/>
          <w:u w:val="none"/>
        </w:rPr>
        <w:t xml:space="preserve">the financial statements</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 and fair presentation</w:t>
      </w:r>
      <w:r>
        <w:rPr>
          <w:b w:val="0"/>
          <w:i w:val="0"/>
          <w:sz w:val="24"/>
          <w:u w:val="none"/>
        </w:rPr>
        <w:t xml:space="preserve"> of </w:t>
      </w:r>
      <w:r>
        <w:rPr>
          <w:b w:val="0"/>
          <w:i w:val="0"/>
          <w:sz w:val="24"/>
          <w:u w:val="none"/>
        </w:rPr>
        <w:t xml:space="preserve">the financial statements</w:t>
      </w:r>
      <w:r>
        <w:rPr>
          <w:b w:val="0"/>
          <w:i w:val="0"/>
          <w:sz w:val="24"/>
          <w:u w:val="none"/>
        </w:rPr>
        <w:t xml:space="preserve"> in accordance with </w:t>
      </w:r>
      <w:r>
        <w:rPr>
          <w:b w:val="0"/>
          <w:i w:val="0"/>
          <w:sz w:val="24"/>
          <w:u w:val="none"/>
        </w:rPr>
        <w:t xml:space="preserve">Part 9 of Book 2 of the Dutch Civil Code</w:t>
      </w:r>
      <w:r>
        <w:rPr>
          <w:b w:val="0"/>
          <w:i w:val="0"/>
          <w:sz w:val="24"/>
          <w:u w:val="none"/>
          <w:vertAlign w:val="superscript"/>
        </w:rPr>
        <w:footnoteReference w:customMarkFollows="off" w:id="5"/>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financial statements</w:t>
      </w:r>
      <w:r>
        <w:rPr>
          <w:b w:val="0"/>
          <w:i w:val="0"/>
          <w:sz w:val="24"/>
          <w:u w:val="none"/>
        </w:rPr>
        <w:t xml:space="preserve"> that </w:t>
      </w:r>
      <w:r>
        <w:rPr>
          <w:b w:val="0"/>
          <w:i w:val="0"/>
          <w:sz w:val="24"/>
          <w:u w:val="none"/>
        </w:rPr>
        <w:t xml:space="preserve">are</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financial statements</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2400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in the entity and its environment</w:t>
      </w:r>
      <w:r>
        <w:rPr>
          <w:b w:val="0"/>
          <w:i w:val="0"/>
          <w:sz w:val="24"/>
          <w:u w:val="none"/>
          <w:vertAlign w:val="superscript"/>
        </w:rPr>
        <w:footnoteReference w:customMarkFollows="off" w:id="8"/>
      </w:r>
      <w:r>
        <w:rPr>
          <w:b w:val="0"/>
          <w:i w:val="0"/>
          <w:sz w:val="24"/>
          <w:u w:val="none"/>
        </w:rPr>
        <w:t xml:space="preserve"> and the applicable financial reporting framework, in order to identify areas in </w:t>
      </w:r>
      <w:r>
        <w:rPr>
          <w:b w:val="0"/>
          <w:i w:val="0"/>
          <w:sz w:val="24"/>
          <w:u w:val="none"/>
        </w:rPr>
        <w:t xml:space="preserve">the financial statements</w:t>
      </w:r>
      <w:r>
        <w:rPr>
          <w:b w:val="0"/>
          <w:i w:val="0"/>
          <w:sz w:val="24"/>
          <w:u w:val="none"/>
        </w:rPr>
        <w:t xml:space="preserve">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w:t>
      </w:r>
      <w:r>
        <w:rPr>
          <w:b w:val="0"/>
          <w:i w:val="0"/>
          <w:sz w:val="24"/>
          <w:u w:val="none"/>
        </w:rPr>
        <w:t xml:space="preserve">the entity</w:t>
      </w:r>
      <w:r>
        <w:rPr>
          <w:b w:val="0"/>
          <w:i w:val="0"/>
          <w:sz w:val="24"/>
          <w:u w:val="none"/>
        </w:rPr>
        <w:t xml:space="preserve">'s accounting systems and accounting records and consider whether these generate data that is adequate for the purpose of performing the analytical procedures;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financial statements</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financial statements</w:t>
      </w:r>
      <w:r>
        <w:rPr>
          <w:b w:val="0"/>
          <w:i w:val="0"/>
          <w:sz w:val="24"/>
          <w:u w:val="none"/>
        </w:rPr>
        <w:t xml:space="preserve"> agree with, or reconcile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appropriateness of accounting policies used and considering whether the accounting estimates and related disclosures made by </w:t>
      </w:r>
      <w:r>
        <w:rPr>
          <w:b w:val="0"/>
          <w:i w:val="0"/>
          <w:sz w:val="24"/>
          <w:u w:val="none"/>
        </w:rPr>
        <w:t xml:space="preserve">management</w:t>
      </w:r>
      <w:r>
        <w:rPr>
          <w:b w:val="0"/>
          <w:i w:val="0"/>
          <w:sz w:val="24"/>
          <w:u w:val="none"/>
        </w:rPr>
        <w:t xml:space="preserve"> appear reasonable;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the overall presentation, structure and content of </w:t>
      </w:r>
      <w:r>
        <w:rPr>
          <w:b w:val="0"/>
          <w:i w:val="0"/>
          <w:sz w:val="24"/>
          <w:u w:val="none"/>
        </w:rPr>
        <w:t xml:space="preserve">the financial statements</w:t>
      </w:r>
      <w:r>
        <w:rPr>
          <w:b w:val="0"/>
          <w:i w:val="0"/>
          <w:sz w:val="24"/>
          <w:u w:val="none"/>
        </w:rPr>
        <w:t xml:space="preserve">, including the disclosures;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 financial statements and the related disclosures represent the underlying transactions and events in a manner that appears to give a true and fair view.</w:t>
      </w:r>
      <w:r>
        <w:rPr>
          <w:b w:val="0"/>
          <w:i w:val="0"/>
          <w:sz w:val="24"/>
          <w:u w:val="none"/>
          <w:vertAlign w:val="superscript"/>
        </w:rPr>
        <w:footnoteReference w:customMarkFollows="off" w:id="9"/>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via paginanummers: [optioneel: on page ... up to and including page ...] included in ... (this annual report) [...]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Aan te passen aan een gebroken boekjaar: '[...] the financial position of ... (naam entiteit(en)) as at 30 June YYYY and of its result for the year then ended [...]' en aan de terminologie van een ander getrouw-beeld-stelsel dan Titel 9 Boek 2 BW.</w:t>
      </w:r>
      <w:r>
        <w:rPr>
          <w:b w:val="0"/>
          <w:i w:val="0"/>
          <w:sz w:val="20"/>
          <w:u w:val="none"/>
        </w:rPr>
        <w:cr/>
      </w:r>
      <w:r>
        <w:rPr>
          <w:b w:val="0"/>
          <w:i w:val="0"/>
          <w:sz w:val="20"/>
          <w:u w:val="none"/>
        </w:rPr>
        <w:t xml:space="preserve">
Ingeval van een compliance-stelsel aan te passen: '</w:t>
      </w:r>
      <w:r>
        <w:rPr>
          <w:b w:val="0"/>
          <w:i/>
          <w:sz w:val="20"/>
          <w:u w:val="none"/>
        </w:rPr>
        <w:t xml:space="preserve">[...] are not prepared, in al material respects, in accordance with the provisions of ... (compliance-stelsel)</w:t>
      </w:r>
      <w:r>
        <w:rPr>
          <w:b w:val="0"/>
          <w:i w:val="0"/>
          <w:sz w:val="20"/>
          <w:u w:val="none"/>
        </w:rPr>
        <w:t xml:space="preserve">'.</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Aan te passen aan een gebroken boekjaar; terminologie aan te passen aan een ander stelsel dan Titel 9 Boek 2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Terminologie laten aansluiten op die welke de entiteit hanteert.</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Aan te passen aan de terminologie van een ander stelsel dan Titel 9 Boek 2 BW.</w:t>
      </w:r>
      <w:r>
        <w:rPr>
          <w:b w:val="0"/>
          <w:i w:val="0"/>
          <w:sz w:val="20"/>
          <w:u w:val="none"/>
        </w:rPr>
        <w:cr/>
      </w:r>
      <w:r>
        <w:rPr>
          <w:b w:val="0"/>
          <w:i w:val="0"/>
          <w:sz w:val="20"/>
          <w:u w:val="none"/>
        </w:rPr>
        <w:t xml:space="preserve">
Ingeval van een compliance-stelsel aan te passen naar: '</w:t>
      </w:r>
      <w:r>
        <w:rPr>
          <w:b w:val="0"/>
          <w:i/>
          <w:sz w:val="20"/>
          <w:u w:val="none"/>
        </w:rPr>
        <w:t xml:space="preserve">Management is responsible for the preparation of the financial statements in accordance with [compliance stelsel]</w:t>
      </w:r>
      <w:r>
        <w:rPr>
          <w:b w:val="0"/>
          <w:i w:val="0"/>
          <w:sz w:val="20"/>
          <w:u w:val="none"/>
        </w:rPr>
        <w:t xml:space="preserve">'. Indien sprake is van door het bestuur gekozen grondslagen dit aanvullen met: '</w:t>
      </w:r>
      <w:r>
        <w:rPr>
          <w:b w:val="0"/>
          <w:i/>
          <w:sz w:val="20"/>
          <w:u w:val="none"/>
        </w:rPr>
        <w:t xml:space="preserve">and for determining that the accounting policies used are acceptable in the circumstances</w:t>
      </w:r>
      <w:r>
        <w:rPr>
          <w:b w:val="0"/>
          <w:i w:val="0"/>
          <w:sz w:val="20"/>
          <w:u w:val="none"/>
        </w:rPr>
        <w:t xml:space="preserve">.'</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Eventueel aan te vullen met opdrachtspecifieke werkzaamheden.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Naargelang de situatie aan te passen aan de aard van de cliënt.</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Ingeval van een compliance-stelsel aan te passen naar: '</w:t>
      </w:r>
      <w:r>
        <w:rPr>
          <w:b w:val="0"/>
          <w:i/>
          <w:sz w:val="20"/>
          <w:u w:val="none"/>
        </w:rPr>
        <w:t xml:space="preserve">Considering whether the financial statements and the related disclosures represent the underlying transactions and events free from material misstatement</w:t>
      </w:r>
      <w:r>
        <w:rPr>
          <w:b w:val="0"/>
          <w:i w:val="0"/>
          <w:sz w:val="20"/>
          <w:u w:val="none"/>
        </w:rP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530400"/>
    <w:multiLevelType w:val="hybridMultilevel"/>
    <w:tmpl w:val="A8530400"/>
    <w:lvl w:ilvl="0" w:tplc="A9530400">
      <w:start w:val="1"/>
      <w:numFmt w:val="bullet"/>
      <w:lvlText w:val="-"/>
      <w:lvlJc w:val="left"/>
      <w:pPr>
        <w:ind w:left="0"/>
      </w:pPr>
      <w:rPr>
        <w:sz w:val="24"/>
      </w:rPr>
    </w:lvl>
  </w:abstractNum>
  <w:abstractNum w:abstractNumId="2">
    <w:nsid w:val="AA530400"/>
    <w:multiLevelType w:val="hybridMultilevel"/>
    <w:tmpl w:val="AB530400"/>
    <w:lvl w:ilvl="0" w:tplc="AC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2025-01-15T14:34:41Z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