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NB1: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
</w:t>
      </w:r>
    </w:p>
    <w:p>
      <w:pPr>
        <w:spacing w:after="241" w:line="288" w:lineRule="exact"/>
        <w:ind/>
      </w:pPr>
      <w:r>
        <w:rPr>
          <w:b w:val="0"/>
          <w:i w:val="0"/>
          <w:sz w:val="24"/>
          <w:u w:val="none"/>
        </w:rPr>
        <w:t xml:space="preserve">NB2: Bij een beperking in de reikwijdte van zijn werkzaamheden dienen accountants na te gaan of zij op rationele gronden de opdracht op een verantwoorde wijze kunnen afronden (Nederlandse Standaard 2400.29(a)). Indien het effect van de beperking zal resulteren in een onthouding van een conclusie dienen accountants volgens de Nederlandse Standaard 2400.29(e) in de verklaring te vermelden dat zij geen conclusie tot uitdrukking brengen. In dat geval kan deze voorbeeldtekst worden gebruikt.
</w:t>
      </w:r>
    </w:p>
    <w:p>
      <w:pPr>
        <w:spacing w:after="241" w:line="288" w:lineRule="exact"/>
        <w:ind/>
      </w:pPr>
      <w:r>
        <w:rPr>
          <w:b w:val="0"/>
          <w:i w:val="0"/>
          <w:sz w:val="24"/>
          <w:u w:val="none"/>
        </w:rPr>
        <w:t xml:space="preserve">NB3: Bij beoordeling van tussentijdse financiële informatie gelden volgens de Nederlandse Standaard 2410 ook nog nadere voorschriften. Volgens de Nederlandse Standaard 2410.48 is een beperking in de uitvoering voor accountants in normale omstandigheden een belemmering om de beoordeling af te ronden. Accountants dienen in dit geval volgens de Nederlandse Standaard 2410.49 te overwegen of het in de omstandigheden wel gepast is een verklaring af te geven. Mogelijk kunnen wet- en regelgeving accountants verplichten om een verklaring af te geven. In dat geval kan deze voorbeeldtekst worden gebruikt.</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disclaimer of conclusion</w:t>
      </w:r>
    </w:p>
    <w:p>
      <w:pPr>
        <w:spacing w:after="241" w:line="288" w:lineRule="exact"/>
        <w:ind/>
      </w:pPr>
      <w:r>
        <w:rPr>
          <w:b w:val="0"/>
          <w:i w:val="0"/>
          <w:sz w:val="24"/>
          <w:u w:val="none"/>
        </w:rPr>
        <w:t xml:space="preserve">We were engaged to review</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We do not express a conclusion on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of </w:t>
      </w:r>
      <w:r>
        <w:rPr>
          <w:b w:val="0"/>
          <w:i w:val="0"/>
          <w:sz w:val="24"/>
          <w:u w:val="none"/>
        </w:rPr>
        <w:t xml:space="preserve">the company</w:t>
      </w:r>
      <w:r>
        <w:rPr>
          <w:b w:val="0"/>
          <w:i w:val="0"/>
          <w:sz w:val="24"/>
          <w:u w:val="none"/>
          <w:vertAlign w:val="superscript"/>
        </w:rPr>
        <w:footnoteReference w:customMarkFollows="off" w:id="2"/>
      </w:r>
      <w:r>
        <w:rPr>
          <w:b w:val="0"/>
          <w:i w:val="0"/>
          <w:sz w:val="24"/>
          <w:u w:val="none"/>
        </w:rPr>
        <w:t xml:space="preserve">. Due to the significance of the </w:t>
      </w:r>
      <w:r>
        <w:rPr>
          <w:b w:val="0"/>
          <w:i w:val="0"/>
          <w:sz w:val="24"/>
          <w:u w:val="none"/>
        </w:rPr>
        <w:t xml:space="preserve">matter/matters</w:t>
      </w:r>
      <w:r>
        <w:rPr>
          <w:b w:val="0"/>
          <w:i w:val="0"/>
          <w:sz w:val="24"/>
          <w:u w:val="none"/>
        </w:rPr>
        <w:t xml:space="preserve"> described in the 'Basis for our disclaimer of conclusion' section of our report, we have not been able to obtain sufficient appropriate assurance evidence to provide a basis for a conclusion on </w:t>
      </w:r>
      <w:r>
        <w:rPr>
          <w:b w:val="0"/>
          <w:i w:val="0"/>
          <w:sz w:val="24"/>
          <w:u w:val="none"/>
        </w:rPr>
        <w:t xml:space="preserve">the accompanying financial statements</w:t>
      </w:r>
      <w:r>
        <w:rPr>
          <w:b w:val="0"/>
          <w:i w:val="0"/>
          <w:sz w:val="24"/>
          <w:u w:val="none"/>
        </w:rPr>
        <w:t xml:space="preserve"> as a whole.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disclaimer of conclusion</w:t>
      </w:r>
    </w:p>
    <w:p>
      <w:pPr>
        <w:spacing w:after="241" w:line="288" w:lineRule="exact"/>
        <w:ind/>
      </w:pPr>
      <w:r>
        <w:rPr>
          <w:b w:val="0"/>
          <w:i w:val="0"/>
          <w:sz w:val="24"/>
          <w:u w:val="none"/>
        </w:rPr>
        <w:t xml:space="preserve">The company's investment in its joint venture XYZ in ... (country) is carried at EUR ... on the company's balance sheet, which represents over 90% of the company's net assets as at ... YYYY. We were not allowed access to the management and the auditors of XYZ, including XYZ's auditors' audit documentation. As a result, we were unable to determine whether any adjustments were necessary in respect of the company's proportional share of XYZ's assets that it controls jointly, its proportional share of XYZ's liabilities for which it is jointly responsible and its proportional share of XYZ's income and expenses for the year.</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express a conclusion on the financial statements, based on conducting the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Due to the significance of the </w:t>
      </w:r>
      <w:r>
        <w:rPr>
          <w:b w:val="0"/>
          <w:i w:val="0"/>
          <w:sz w:val="24"/>
          <w:u w:val="none"/>
        </w:rPr>
        <w:t xml:space="preserve">matter/matters</w:t>
      </w:r>
      <w:r>
        <w:rPr>
          <w:b w:val="0"/>
          <w:i w:val="0"/>
          <w:sz w:val="24"/>
          <w:u w:val="none"/>
        </w:rPr>
        <w:t xml:space="preserve"> described in the Basis for our disclaimer of conclusion paragraph, we have not been able to obtain sufficient appropriate evidence to provide a basis for a conclusion on </w:t>
      </w:r>
      <w:r>
        <w:rPr>
          <w:b w:val="0"/>
          <w:i w:val="0"/>
          <w:sz w:val="24"/>
          <w:u w:val="none"/>
        </w:rPr>
        <w:t xml:space="preserve">the financial statements</w:t>
      </w:r>
      <w:r>
        <w:rPr>
          <w:b w:val="0"/>
          <w:i w:val="0"/>
          <w:sz w:val="24"/>
          <w:u w:val="none"/>
        </w:rPr>
        <w:t xml:space="preserve"> as a whole.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for Professional Accountants).</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Naargelang de situatie aan te passen: trust, union, foundation, enz.</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540400"/>
    <w:multiLevelType w:val="hybridMultilevel"/>
    <w:tmpl w:val="20540400"/>
    <w:lvl w:ilvl="0" w:tplc="215404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2025-01-15T15:03:46Z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