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r>
        <w:rPr>
          <w:b w:val="0"/>
          <w:i w:val="0"/>
          <w:sz w:val="24"/>
          <w:u w:val="none"/>
        </w:rPr>
        <w:t xml:space="preserve">5.1.4 </w:t>
      </w:r>
      <w:r>
        <w:rPr>
          <w:b w:val="0"/>
          <w:i/>
          <w:sz w:val="24"/>
          <w:u w:val="none"/>
        </w:rPr>
        <w:t xml:space="preserve">Samenstellingsverklaring bij een jaarrekening met een passage ter beperking van gebruik en verspreidingskring bij een controleplichtige opdrachtgever</w:t>
      </w:r>
      <w:r>
        <w:rPr>
          <w:b w:val="0"/>
          <w:i w:val="0"/>
          <w:sz w:val="24"/>
          <w:u w:val="none"/>
        </w:rPr>
        <w:t xml:space="preserve"> </w:t>
      </w:r>
    </w:p>
    <w:p>
      <w:pPr>
        <w:spacing w:after="241" w:line="288" w:lineRule="exact"/>
        <w:ind/>
      </w:pPr>
      <w:r>
        <w:rPr>
          <w:b w:val="0"/>
          <w:i w:val="0"/>
          <w:sz w:val="24"/>
          <w:u w:val="none"/>
        </w:rPr>
        <w:t xml:space="preserve">____________________________________________________________________</w:t>
      </w:r>
      <w:r>
        <w:rPr>
          <w:b w:val="0"/>
          <w:i w:val="0"/>
          <w:sz w:val="24"/>
          <w:u w:val="none"/>
        </w:rPr>
        <w:t xml:space="preserve"> </w:t>
      </w:r>
    </w:p>
    <w:p>
      <w:pPr>
        <w:spacing w:after="321" w:line="384" w:lineRule="exact"/>
        <w:ind/>
      </w:pPr>
      <w:r>
        <w:rPr>
          <w:b/>
          <w:i w:val="0"/>
          <w:sz w:val="32"/>
          <w:u w:val="none"/>
        </w:rPr>
        <w:t xml:space="preserve">ACCOUNTANT'S COMPILATION REPORT</w:t>
      </w:r>
      <w:r>
        <w:rPr>
          <w:b/>
          <w:i w:val="0"/>
          <w:sz w:val="24"/>
          <w:u w:val="none"/>
        </w:rPr>
        <w:t xml:space="preserve"> </w:t>
      </w:r>
    </w:p>
    <w:p>
      <w:pPr>
        <w:spacing w:after="241" w:line="288" w:lineRule="exact"/>
        <w:ind/>
      </w:pPr>
      <w:r>
        <w:rPr>
          <w:b w:val="0"/>
          <w:i w:val="0"/>
          <w:sz w:val="24"/>
          <w:u w:val="none"/>
        </w:rPr>
        <w:t xml:space="preserve">To: </w:t>
      </w:r>
      <w:r>
        <w:rPr>
          <w:b w:val="0"/>
          <w:i w:val="0"/>
          <w:sz w:val="24"/>
          <w:u w:val="none"/>
        </w:rPr>
        <w:t xml:space="preserve">Appropriate addressee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The financial statements</w:t>
      </w:r>
      <w:r>
        <w:rPr>
          <w:b w:val="0"/>
          <w:i w:val="0"/>
          <w:sz w:val="24"/>
          <w:u w:val="none"/>
        </w:rPr>
        <w:t xml:space="preserve"> of </w:t>
      </w:r>
      <w:r>
        <w:rPr>
          <w:b w:val="0"/>
          <w:i w:val="0"/>
          <w:sz w:val="24"/>
          <w:u w:val="none"/>
        </w:rPr>
        <w:t xml:space="preserve">... (naam entiteit(en))</w:t>
      </w:r>
      <w:r>
        <w:rPr>
          <w:b w:val="0"/>
          <w:i w:val="0"/>
          <w:sz w:val="24"/>
          <w:u w:val="none"/>
        </w:rPr>
        <w:t xml:space="preserve"> based in </w:t>
      </w:r>
      <w:r>
        <w:rPr>
          <w:b w:val="0"/>
          <w:i w:val="0"/>
          <w:sz w:val="24"/>
          <w:u w:val="none"/>
        </w:rPr>
        <w:t xml:space="preserve">... ((statutaire) vestigingsplaats)</w:t>
      </w:r>
      <w:r>
        <w:rPr>
          <w:b w:val="0"/>
          <w:i w:val="0"/>
          <w:sz w:val="24"/>
          <w:u w:val="none"/>
        </w:rPr>
        <w:t xml:space="preserve"> </w:t>
      </w:r>
      <w:r>
        <w:rPr>
          <w:b w:val="0"/>
          <w:i w:val="0"/>
          <w:sz w:val="24"/>
          <w:u w:val="none"/>
        </w:rPr>
        <w:t xml:space="preserve">have</w:t>
      </w:r>
      <w:r>
        <w:rPr>
          <w:b w:val="0"/>
          <w:i w:val="0"/>
          <w:sz w:val="24"/>
          <w:u w:val="none"/>
        </w:rPr>
        <w:t xml:space="preserve"> been compiled by us using </w:t>
      </w:r>
      <w:r>
        <w:rPr>
          <w:b w:val="0"/>
          <w:i w:val="0"/>
          <w:sz w:val="24"/>
          <w:u w:val="none"/>
        </w:rPr>
        <w:t xml:space="preserve">the information provided by you</w:t>
      </w:r>
      <w:r>
        <w:rPr>
          <w:b w:val="0"/>
          <w:i w:val="0"/>
          <w:sz w:val="24"/>
          <w:u w:val="none"/>
        </w:rPr>
        <w:t xml:space="preserve">. </w:t>
      </w:r>
      <w:r>
        <w:rPr>
          <w:b w:val="0"/>
          <w:i w:val="0"/>
          <w:sz w:val="24"/>
          <w:u w:val="none"/>
        </w:rPr>
        <w:t xml:space="preserve">The financial statements comprise the balance sheet as at 31 December YYYY (of bij een gebroken boekjaar: 30 June YYYY) and the profit and loss account for the year YYYY</w:t>
      </w:r>
      <w:r>
        <w:rPr>
          <w:b w:val="0"/>
          <w:i w:val="0"/>
          <w:sz w:val="24"/>
          <w:u w:val="none"/>
          <w:vertAlign w:val="superscript"/>
        </w:rPr>
        <w:footnoteReference w:customMarkFollows="off" w:id="1"/>
      </w:r>
      <w:r>
        <w:rPr>
          <w:b w:val="0"/>
          <w:i w:val="0"/>
          <w:sz w:val="24"/>
          <w:u w:val="none"/>
        </w:rPr>
        <w:t xml:space="preserve">, with the accompanying explanatory notes. These notes include a summary of the accounting policies which have been applied.</w:t>
      </w:r>
      <w:r>
        <w:rPr>
          <w:b w:val="0"/>
          <w:i w:val="0"/>
          <w:sz w:val="24"/>
          <w:u w:val="none"/>
          <w:vertAlign w:val="superscript"/>
        </w:rPr>
        <w:footnoteReference w:customMarkFollows="off" w:id="2"/>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This compilation engagement has been performed by us in accordance with Dutch law, including the Dutch Standard 4410, 'Compilation engagements', which is applicable to accountants. The standard requires us to assist you in the preparation and presentation of </w:t>
      </w:r>
      <w:r>
        <w:rPr>
          <w:b w:val="0"/>
          <w:i w:val="0"/>
          <w:sz w:val="24"/>
          <w:u w:val="none"/>
        </w:rPr>
        <w:t xml:space="preserve">the financial statements</w:t>
      </w:r>
      <w:r>
        <w:rPr>
          <w:b w:val="0"/>
          <w:i w:val="0"/>
          <w:sz w:val="24"/>
          <w:u w:val="none"/>
        </w:rPr>
        <w:t xml:space="preserve"> in accordance with </w:t>
      </w:r>
      <w:r>
        <w:rPr>
          <w:b w:val="0"/>
          <w:i w:val="0"/>
          <w:sz w:val="24"/>
          <w:u w:val="none"/>
        </w:rPr>
        <w:t xml:space="preserve">Part 9 of Book 2 of the Dutch Civil Code</w:t>
      </w:r>
      <w:r>
        <w:rPr>
          <w:b w:val="0"/>
          <w:i w:val="0"/>
          <w:sz w:val="24"/>
          <w:u w:val="none"/>
          <w:vertAlign w:val="superscript"/>
        </w:rPr>
        <w:footnoteReference w:customMarkFollows="off" w:id="3"/>
      </w:r>
      <w:r>
        <w:rPr>
          <w:b w:val="0"/>
          <w:i w:val="0"/>
          <w:sz w:val="24"/>
          <w:u w:val="none"/>
        </w:rPr>
        <w:t xml:space="preserve">. To this end we have applied our professional expertise in accounting and financial reporting.</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In a compilation engagement, you are responsible for ensuring that you provide us with all relevant information and that this information is correct.</w:t>
      </w:r>
      <w:r>
        <w:rPr>
          <w:b w:val="0"/>
          <w:i w:val="0"/>
          <w:sz w:val="24"/>
          <w:u w:val="none"/>
        </w:rPr>
        <w:t xml:space="preserve"> Therefore, we have conducted our work, in accordance with the applicable regulations, on the assumption that you have fulfilled your responsibility. To conclude our work, we have read </w:t>
      </w:r>
      <w:r>
        <w:rPr>
          <w:b w:val="0"/>
          <w:i w:val="0"/>
          <w:sz w:val="24"/>
          <w:u w:val="none"/>
        </w:rPr>
        <w:t xml:space="preserve">the financial statements</w:t>
      </w:r>
      <w:r>
        <w:rPr>
          <w:b w:val="0"/>
          <w:i w:val="0"/>
          <w:sz w:val="24"/>
          <w:u w:val="none"/>
        </w:rPr>
        <w:t xml:space="preserve"> as a whole to consider whether </w:t>
      </w:r>
      <w:r>
        <w:rPr>
          <w:b w:val="0"/>
          <w:i w:val="0"/>
          <w:sz w:val="24"/>
          <w:u w:val="none"/>
        </w:rPr>
        <w:t xml:space="preserve">the financial statements</w:t>
      </w:r>
      <w:r>
        <w:rPr>
          <w:b w:val="0"/>
          <w:i w:val="0"/>
          <w:sz w:val="24"/>
          <w:u w:val="none"/>
        </w:rPr>
        <w:t xml:space="preserve"> as presented </w:t>
      </w:r>
      <w:r>
        <w:rPr>
          <w:b w:val="0"/>
          <w:i w:val="0"/>
          <w:sz w:val="24"/>
          <w:u w:val="none"/>
        </w:rPr>
        <w:t xml:space="preserve">correspond</w:t>
      </w:r>
      <w:r>
        <w:rPr>
          <w:b w:val="0"/>
          <w:i w:val="0"/>
          <w:sz w:val="24"/>
          <w:u w:val="none"/>
        </w:rPr>
        <w:t xml:space="preserve"> with our understanding of </w:t>
      </w:r>
      <w:r>
        <w:rPr>
          <w:b w:val="0"/>
          <w:i w:val="0"/>
          <w:sz w:val="24"/>
          <w:u w:val="none"/>
        </w:rPr>
        <w:t xml:space="preserve">... (naam entiteit(en))</w:t>
      </w:r>
      <w:r>
        <w:rPr>
          <w:b w:val="0"/>
          <w:i w:val="0"/>
          <w:sz w:val="24"/>
          <w:u w:val="none"/>
        </w:rPr>
        <w:t xml:space="preserve">.</w:t>
      </w:r>
      <w:r>
        <w:rPr>
          <w:b w:val="0"/>
          <w:i w:val="0"/>
          <w:sz w:val="24"/>
          <w:u w:val="none"/>
        </w:rPr>
        <w:t xml:space="preserve"> </w:t>
      </w:r>
    </w:p>
    <w:p>
      <w:pPr>
        <w:spacing w:after="241" w:line="288" w:lineRule="exact"/>
        <w:ind/>
      </w:pPr>
      <w:r>
        <w:rPr>
          <w:b w:val="0"/>
          <w:i w:val="0"/>
          <w:sz w:val="24"/>
          <w:u w:val="none"/>
        </w:rPr>
        <w:t xml:space="preserve">We have not performed any audit or review procedures which would enable us to express an opinion or a conclusion as to the fair presentation of the financial statements.</w:t>
      </w:r>
      <w:r>
        <w:rPr>
          <w:b w:val="0"/>
          <w:i w:val="0"/>
          <w:sz w:val="24"/>
          <w:u w:val="none"/>
          <w:vertAlign w:val="superscript"/>
        </w:rPr>
        <w:footnoteReference w:customMarkFollows="off" w:id="4"/>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During this engagement we have complied with the relevant ethical requirements prescribed by the 'Verordening Gedrags- en Beroepsregels Accountants' (VGBA, Dutch Code of Ethics for Professional Accountants). You and other users of </w:t>
      </w:r>
      <w:r>
        <w:rPr>
          <w:b w:val="0"/>
          <w:i w:val="0"/>
          <w:sz w:val="24"/>
          <w:u w:val="none"/>
        </w:rPr>
        <w:t xml:space="preserve">these financial statements</w:t>
      </w:r>
      <w:r>
        <w:rPr>
          <w:b w:val="0"/>
          <w:i w:val="0"/>
          <w:sz w:val="24"/>
          <w:u w:val="none"/>
        </w:rPr>
        <w:t xml:space="preserve"> may therefore assume that we have conducted the engagement in a professional, competent and objective manner and with due care and integrity and that we will treat all information provided to us as confidential.</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We have compiled these financial statements for the management of </w:t>
      </w:r>
      <w:r>
        <w:rPr>
          <w:b w:val="0"/>
          <w:i w:val="0"/>
          <w:sz w:val="24"/>
          <w:u w:val="none"/>
        </w:rPr>
        <w:t xml:space="preserve">... (naam entiteit(en))</w:t>
      </w:r>
      <w:r>
        <w:rPr>
          <w:b w:val="0"/>
          <w:i w:val="0"/>
          <w:sz w:val="24"/>
          <w:u w:val="none"/>
        </w:rPr>
        <w:t xml:space="preserve"> to enable </w:t>
      </w:r>
      <w:r>
        <w:rPr>
          <w:b w:val="0"/>
          <w:i w:val="0"/>
          <w:sz w:val="24"/>
          <w:u w:val="none"/>
        </w:rPr>
        <w:t xml:space="preserve">... (naam entiteit(en))</w:t>
      </w:r>
      <w:r>
        <w:rPr>
          <w:b w:val="0"/>
          <w:i w:val="0"/>
          <w:sz w:val="24"/>
          <w:u w:val="none"/>
        </w:rPr>
        <w:t xml:space="preserve"> to comply with the obligation to prepare the financial statements. Our compilation report is intended solely for the management of </w:t>
      </w:r>
      <w:r>
        <w:rPr>
          <w:b w:val="0"/>
          <w:i w:val="0"/>
          <w:sz w:val="24"/>
          <w:u w:val="none"/>
        </w:rPr>
        <w:t xml:space="preserve">... (naam entiteit(en))</w:t>
      </w:r>
      <w:r>
        <w:rPr>
          <w:b w:val="0"/>
          <w:i w:val="0"/>
          <w:sz w:val="24"/>
          <w:u w:val="none"/>
        </w:rPr>
        <w:t xml:space="preserve"> and should not be distributed to or used by other parties.</w:t>
      </w:r>
      <w:r>
        <w:rPr>
          <w:b w:val="0"/>
          <w:i w:val="0"/>
          <w:sz w:val="24"/>
          <w:u w:val="none"/>
          <w:vertAlign w:val="superscript"/>
        </w:rPr>
        <w:footnoteReference w:customMarkFollows="off" w:id="5"/>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For further information on the nature and scope of a compilation engagement and the VGBA we refer you to www.nba.nl/uitleg-samenstellingsverklaring.</w:t>
      </w:r>
      <w:r>
        <w:rPr>
          <w:b w:val="0"/>
          <w:i w:val="0"/>
          <w:sz w:val="24"/>
          <w:u w:val="none"/>
          <w:vertAlign w:val="superscript"/>
        </w:rPr>
        <w:footnoteReference w:customMarkFollows="off" w:id="6"/>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r>
        <w:rPr>
          <w:b w:val="0"/>
          <w:i w:val="0"/>
          <w:sz w:val="24"/>
          <w:u w:val="none"/>
        </w:rPr>
        <w:t xml:space="preserve">... (naam accountantspraktijk)</w:t>
      </w:r>
      <w:r>
        <w:rPr>
          <w:b w:val="0"/>
          <w:i w:val="0"/>
          <w:sz w:val="24"/>
          <w:u w:val="none"/>
        </w:rPr>
        <w:t xml:space="preserve"> </w:t>
      </w:r>
    </w:p>
    <w:p>
      <w:pPr>
        <w:spacing w:after="241" w:line="288" w:lineRule="exact"/>
        <w:ind/>
      </w:pPr>
      <w:r>
        <w:rPr>
          <w:b w:val="0"/>
          <w:i w:val="0"/>
          <w:sz w:val="24"/>
          <w:u w:val="none"/>
        </w:rPr>
        <w:t xml:space="preserve">... (naam accountant)</w:t>
      </w:r>
      <w:r>
        <w:rPr>
          <w:b w:val="0"/>
          <w:i w:val="0"/>
          <w:sz w:val="24"/>
          <w:u w:val="none"/>
        </w:rPr>
        <w:t xml:space="preserve"> </w:t>
      </w:r>
    </w:p>
    <w:p>
      <w:pPr>
        <w:spacing w:after="241" w:line="288" w:lineRule="exact"/>
        <w:ind/>
      </w:pPr>
      <w:r>
        <w:rPr>
          <w:b w:val="0"/>
          <w:i w:val="0"/>
          <w:sz w:val="24"/>
          <w:u w:val="none"/>
        </w:rPr>
        <w:t xml:space="preserve">.... (vestigingsplaats accountantspraktijk)</w:t>
      </w:r>
      <w:r>
        <w:rPr>
          <w:b w:val="0"/>
          <w:i w:val="0"/>
          <w:sz w:val="24"/>
          <w:u w:val="none"/>
        </w:rPr>
        <w:cr/>
      </w:r>
      <w:r>
        <w:rPr>
          <w:b w:val="0"/>
          <w:i w:val="0"/>
          <w:sz w:val="24"/>
          <w:u w:val="none"/>
        </w:rPr>
        <w:t xml:space="preserve"> </w:t>
      </w:r>
      <w:r>
        <w:rPr>
          <w:b w:val="0"/>
          <w:i w:val="0"/>
          <w:sz w:val="24"/>
          <w:u w:val="none"/>
        </w:rPr>
        <w:t xml:space="preserve">2099-09-09</w:t>
      </w:r>
      <w:r>
        <w:rPr>
          <w:b w:val="0"/>
          <w:i w:val="0"/>
          <w:sz w:val="24"/>
          <w:u w:val="none"/>
        </w:rPr>
        <w:cr/>
      </w:r>
      <w:r>
        <w:rPr>
          <w:b w:val="0"/>
          <w:i w:val="0"/>
          <w:sz w:val="24"/>
          <w:u w:val="none"/>
        </w:rPr>
        <w:t xml:space="preserve"> </w:t>
      </w:r>
      <w:r>
        <w:rPr>
          <w:b w:val="0"/>
          <w:i w:val="0"/>
          <w:sz w:val="24"/>
          <w:u w:val="none"/>
        </w:rPr>
        <w:t xml:space="preserve">2023-01-01</w:t>
      </w:r>
      <w:r>
        <w:rPr>
          <w:b w:val="0"/>
          <w:i w:val="0"/>
          <w:sz w:val="24"/>
          <w:u w:val="none"/>
        </w:rPr>
        <w:cr/>
      </w:r>
      <w:r>
        <w:rPr>
          <w:b w:val="0"/>
          <w:i w:val="0"/>
          <w:sz w:val="24"/>
          <w:u w:val="none"/>
        </w:rPr>
        <w:t xml:space="preserve"> </w:t>
      </w:r>
      <w:r>
        <w:rPr>
          <w:b w:val="0"/>
          <w:i w:val="0"/>
          <w:sz w:val="24"/>
          <w:u w:val="none"/>
        </w:rPr>
        <w:t xml:space="preserve">2023-12-31</w:t>
      </w:r>
      <w:r>
        <w:rPr>
          <w:b w:val="0"/>
          <w:i w:val="0"/>
          <w:sz w:val="24"/>
          <w:u w:val="none"/>
        </w:rPr>
        <w:cr/>
      </w:r>
      <w:r>
        <w:rPr>
          <w:b w:val="0"/>
          <w:i w:val="0"/>
          <w:sz w:val="24"/>
          <w:u w:val="none"/>
        </w:rPr>
        <w:t xml:space="preserve"> </w:t>
      </w:r>
      <w:r>
        <w:rPr>
          <w:b w:val="0"/>
          <w:i w:val="0"/>
          <w:sz w:val="24"/>
          <w:u w:val="none"/>
        </w:rPr>
        <w:t xml:space="preserve">12345678</w:t>
      </w:r>
      <w:r>
        <w:rPr>
          <w:b w:val="0"/>
          <w:i w:val="0"/>
          <w:sz w:val="24"/>
          <w:u w:val="none"/>
        </w:rPr>
        <w:t xml:space="preserve"> </w:t>
      </w:r>
    </w:p>
    <w:p>
      <w:pPr>
        <w:spacing w:after="241" w:line="288" w:lineRule="exact"/>
        <w:ind/>
      </w:pPr>
      <w:r>
        <w:rPr>
          <w:b w:val="0"/>
          <w:i w:val="0"/>
          <w:sz w:val="24"/>
          <w:u w:val="none"/>
        </w:rPr>
        <w:t xml:space="preserve">87654321</w:t>
      </w:r>
      <w:r>
        <w:rPr>
          <w:b w:val="0"/>
          <w:i w:val="0"/>
          <w:sz w:val="24"/>
          <w:u w:val="none"/>
        </w:rPr>
        <w:t xml:space="preserve"> </w:t>
      </w:r>
    </w:p>
    <w:p>
      <w:pPr>
        <w:spacing w:after="241" w:line="288" w:lineRule="exact"/>
        <w:ind/>
      </w:pPr>
      <w:r>
        <w:rPr>
          <w:b w:val="0"/>
          <w:i w:val="0"/>
          <w:sz w:val="24"/>
          <w:u w:val="none"/>
        </w:rPr>
        <w:t xml:space="preserve">KVK</w:t>
      </w:r>
      <w:r>
        <w:rPr>
          <w:b w:val="0"/>
          <w:i w:val="0"/>
          <w:sz w:val="24"/>
          <w:u w:val="none"/>
        </w:rPr>
        <w:t xml:space="preserve"> </w:t>
      </w:r>
    </w:p>
    <w:p>
      <w:pPr>
        <w:spacing w:after="241" w:line="288" w:lineRule="exact"/>
        <w:ind/>
      </w:pPr>
      <w:r>
        <w:rPr>
          <w:b w:val="0"/>
          <w:i w:val="0"/>
          <w:sz w:val="24"/>
          <w:u w:val="none"/>
        </w:rPr>
        <w:t xml:space="preserve">Interne referentie (bijv. dossiernummer). Minimaal één alfanumeriek teken invullen, niets invullen leidt tot foutmelding bij XBRL-instance genereren.</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Of voor een gebroken boekjaar: for the year then ended.</w:t>
      </w:r>
    </w:p>
  </w:footnote>
  <w:footnote w:type="normal" w:id="2">
    <w:p>
      <w:pPr>
        <w:spacing w:after="1" w:line="240" w:lineRule="exact"/>
        <w:ind w:left="566" w:hanging="566"/>
      </w:pPr>
      <w:r>
        <w:rPr>
          <w:b w:val="0"/>
          <w:i w:val="0"/>
          <w:sz w:val="20"/>
          <w:u w:val="none"/>
        </w:rPr>
        <w:t xml:space="preserve">2.</w:t>
      </w:r>
      <w:r>
        <w:rPr>
          <w:b w:val="0"/>
          <w:i w:val="0"/>
          <w:sz w:val="20"/>
          <w:u w:val="none"/>
        </w:rPr>
        <w:tab/>
      </w:r>
      <w:r>
        <w:rPr>
          <w:b w:val="0"/>
          <w:i w:val="0"/>
          <w:sz w:val="20"/>
          <w:u w:val="none"/>
        </w:rPr>
        <w:t xml:space="preserve">Deze passage kan vervallen bij micro-entiteiten</w:t>
      </w:r>
    </w:p>
  </w:footnote>
  <w:footnote w:type="normal" w:id="3">
    <w:p>
      <w:pPr>
        <w:spacing w:after="1" w:line="240" w:lineRule="exact"/>
        <w:ind w:left="566" w:hanging="566"/>
      </w:pPr>
      <w:r>
        <w:rPr>
          <w:b w:val="0"/>
          <w:i w:val="0"/>
          <w:sz w:val="20"/>
          <w:u w:val="none"/>
        </w:rPr>
        <w:t xml:space="preserve">3.</w:t>
      </w:r>
      <w:r>
        <w:rPr>
          <w:b w:val="0"/>
          <w:i w:val="0"/>
          <w:sz w:val="20"/>
          <w:u w:val="none"/>
        </w:rPr>
        <w:tab/>
      </w:r>
      <w:r>
        <w:rPr>
          <w:b w:val="0"/>
          <w:i w:val="0"/>
          <w:sz w:val="20"/>
          <w:u w:val="none"/>
        </w:rPr>
        <w:t xml:space="preserve">Invullen de van toepassing zijnde grondslagen van financiële verslaggeving.</w:t>
      </w:r>
    </w:p>
  </w:footnote>
  <w:footnote w:type="normal" w:id="4">
    <w:p>
      <w:pPr>
        <w:spacing w:after="1" w:line="240" w:lineRule="exact"/>
        <w:ind w:left="566" w:hanging="566"/>
      </w:pPr>
      <w:r>
        <w:rPr>
          <w:b w:val="0"/>
          <w:i w:val="0"/>
          <w:sz w:val="20"/>
          <w:u w:val="none"/>
        </w:rPr>
        <w:t xml:space="preserve">4.</w:t>
      </w:r>
      <w:r>
        <w:rPr>
          <w:b w:val="0"/>
          <w:i w:val="0"/>
          <w:sz w:val="20"/>
          <w:u w:val="none"/>
        </w:rPr>
        <w:tab/>
      </w:r>
      <w:r>
        <w:rPr>
          <w:b w:val="0"/>
          <w:i w:val="0"/>
          <w:sz w:val="20"/>
          <w:u w:val="none"/>
        </w:rPr>
        <w:t xml:space="preserve">Facultatief</w:t>
      </w:r>
    </w:p>
  </w:footnote>
  <w:footnote w:type="normal" w:id="5">
    <w:p>
      <w:pPr>
        <w:spacing w:after="1" w:line="240" w:lineRule="exact"/>
        <w:ind w:left="566" w:hanging="566"/>
      </w:pPr>
      <w:r>
        <w:rPr>
          <w:b w:val="0"/>
          <w:i w:val="0"/>
          <w:sz w:val="20"/>
          <w:u w:val="none"/>
        </w:rPr>
        <w:t xml:space="preserve">5.</w:t>
      </w:r>
      <w:r>
        <w:rPr>
          <w:b w:val="0"/>
          <w:i w:val="0"/>
          <w:sz w:val="20"/>
          <w:u w:val="none"/>
        </w:rPr>
        <w:tab/>
      </w:r>
      <w:r>
        <w:rPr>
          <w:b w:val="0"/>
          <w:i w:val="0"/>
          <w:sz w:val="20"/>
          <w:u w:val="none"/>
        </w:rPr>
        <w:t xml:space="preserve">Op grond van Standaard 4410 is het verplicht een samenstellingsverklaring uit te brengen bij een samengesteld opdrachtobject.</w:t>
      </w:r>
      <w:r>
        <w:rPr>
          <w:b w:val="0"/>
          <w:i w:val="0"/>
          <w:sz w:val="20"/>
          <w:u w:val="none"/>
        </w:rPr>
        <w:cr/>
      </w:r>
      <w:r>
        <w:rPr>
          <w:b w:val="0"/>
          <w:i w:val="0"/>
          <w:sz w:val="20"/>
          <w:u w:val="none"/>
        </w:rPr>
        <w:t xml:space="preserve">
Het blijft mogelijk een samenstellingsopdracht uit te voeren voor een controleplichtige cliënt. Alleen is het onwenselijk wanneer een (te deponeren) gecontroleerde jaarrekening zou zijn voorzien van zowel een controle- als een samenstellingsverklaring. Met deze passage beoogt de samenstellende accountant ervoor te zorgen dat de verplicht uitgebrachte samenstellingsverklaring louter (het bestuur van) de opdrachtgever van de samenstellingsopdracht als verspreidingskring heeft. Het voorgaande heeft betrekking op de situatie dat de samenstellende accountant tot een andere praktijk (of ander netwerk) behoort dan de controlerende.</w:t>
      </w:r>
      <w:r>
        <w:rPr>
          <w:b w:val="0"/>
          <w:i w:val="0"/>
          <w:sz w:val="20"/>
          <w:u w:val="none"/>
        </w:rPr>
        <w:cr/>
      </w:r>
      <w:r>
        <w:rPr>
          <w:b w:val="0"/>
          <w:i w:val="0"/>
          <w:sz w:val="20"/>
          <w:u w:val="none"/>
        </w:rPr>
        <w:t xml:space="preserve">
Ingeval de controlerende accountant ook betrokken is bij administratieve dienstverlening om de cliënt te ondersteunen bij de financiële overzichten op te stellen en te presenteren, wordt die dienstverlening niet beschouwd als samenstellen. Om die reden vervalt de verplichting voor de controlerende accountant ook een samenstellingsverklaring uit te brengen.</w:t>
      </w:r>
    </w:p>
  </w:footnote>
  <w:footnote w:type="normal" w:id="6">
    <w:p>
      <w:pPr>
        <w:spacing w:after="1" w:line="240" w:lineRule="exact"/>
        <w:ind w:left="566" w:hanging="566"/>
      </w:pPr>
      <w:r>
        <w:rPr>
          <w:b w:val="0"/>
          <w:i w:val="0"/>
          <w:sz w:val="20"/>
          <w:u w:val="none"/>
        </w:rPr>
        <w:t xml:space="preserve">6.</w:t>
      </w:r>
      <w:r>
        <w:rPr>
          <w:b w:val="0"/>
          <w:i w:val="0"/>
          <w:sz w:val="20"/>
          <w:u w:val="none"/>
        </w:rPr>
        <w:tab/>
      </w:r>
      <w:r>
        <w:rPr>
          <w:b w:val="0"/>
          <w:i w:val="0"/>
          <w:sz w:val="20"/>
          <w:u w:val="none"/>
        </w:rPr>
        <w:t xml:space="preserve">Facultatief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2025-01-15T14:55:31Z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