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ACCOUNTANT'S COMPILATION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w:t>
      </w:r>
      <w:r>
        <w:rPr>
          <w:b w:val="0"/>
          <w:i w:val="0"/>
          <w:sz w:val="24"/>
          <w:u w:val="none"/>
        </w:rPr>
        <w:t xml:space="preserve">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w:t>
      </w:r>
      <w:r>
        <w:rPr>
          <w:b w:val="0"/>
          <w:i w:val="0"/>
          <w:sz w:val="24"/>
          <w:u w:val="none"/>
        </w:rPr>
        <w:t xml:space="preserve">have</w:t>
      </w:r>
      <w:r>
        <w:rPr>
          <w:b w:val="0"/>
          <w:i w:val="0"/>
          <w:sz w:val="24"/>
          <w:u w:val="none"/>
        </w:rPr>
        <w:t xml:space="preserve"> been compiled by us using </w:t>
      </w:r>
      <w:r>
        <w:rPr>
          <w:b w:val="0"/>
          <w:i w:val="0"/>
          <w:sz w:val="24"/>
          <w:u w:val="none"/>
        </w:rPr>
        <w:t xml:space="preserve">the information provided by you</w:t>
      </w:r>
      <w:r>
        <w:rPr>
          <w:b w:val="0"/>
          <w:i w:val="0"/>
          <w:sz w:val="24"/>
          <w:u w:val="none"/>
        </w:rPr>
        <w:t xml:space="preserve">. </w:t>
      </w:r>
      <w:r>
        <w:rPr>
          <w:b w:val="0"/>
          <w:i w:val="0"/>
          <w:sz w:val="24"/>
          <w:u w:val="none"/>
        </w:rPr>
        <w:t xml:space="preserve">The financial statements comprise the balance sheet as at 31 December YYYY (of bij een gebroken boekjaar: 30 June YYYY) and the profit and loss account for the year YYYY</w:t>
      </w:r>
      <w:r>
        <w:rPr>
          <w:b w:val="0"/>
          <w:i w:val="0"/>
          <w:sz w:val="24"/>
          <w:u w:val="none"/>
          <w:vertAlign w:val="superscript"/>
        </w:rPr>
        <w:footnoteReference w:customMarkFollows="off" w:id="1"/>
      </w:r>
      <w:r>
        <w:rPr>
          <w:b w:val="0"/>
          <w:i w:val="0"/>
          <w:sz w:val="24"/>
          <w:u w:val="none"/>
        </w:rPr>
        <w:t xml:space="preserve">, with the accompanying explanatory notes. These notes include a summary of the accounting policies which have been applied.</w:t>
      </w:r>
      <w:r>
        <w:rPr>
          <w:b w:val="0"/>
          <w:i w:val="0"/>
          <w:sz w:val="24"/>
          <w:u w:val="none"/>
          <w:vertAlign w:val="superscript"/>
        </w:rPr>
        <w:footnoteReference w:customMarkFollows="off" w:id="2"/>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This compilation engagement has been performed by us in accordance with Dutch law, including the Dutch Standard 4410, 'Compilation engagements', which is applicable to accountants. The standard requires us to assist you in the preparation and presentation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3"/>
      </w:r>
      <w:r>
        <w:rPr>
          <w:b w:val="0"/>
          <w:i w:val="0"/>
          <w:sz w:val="24"/>
          <w:u w:val="none"/>
        </w:rPr>
        <w:t xml:space="preserve">. To this end we have applied our professional expertise in accounting and financial reporting.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a compilation engagement, you are responsible for ensuring that you provide us with all relevant information and that this information is correct.</w:t>
      </w:r>
      <w:r>
        <w:rPr>
          <w:b w:val="0"/>
          <w:i w:val="0"/>
          <w:sz w:val="24"/>
          <w:u w:val="none"/>
        </w:rPr>
        <w:t xml:space="preserve"> Therefore, we have conducted our work, in accordance with the applicable regulations, on the assumption that you have fulfilled your responsibility. To conclude our work, we have read </w:t>
      </w:r>
      <w:r>
        <w:rPr>
          <w:b w:val="0"/>
          <w:i w:val="0"/>
          <w:sz w:val="24"/>
          <w:u w:val="none"/>
        </w:rPr>
        <w:t xml:space="preserve">the financial statements</w:t>
      </w:r>
      <w:r>
        <w:rPr>
          <w:b w:val="0"/>
          <w:i w:val="0"/>
          <w:sz w:val="24"/>
          <w:u w:val="none"/>
        </w:rPr>
        <w:t xml:space="preserve"> as a whole to consider whether </w:t>
      </w:r>
      <w:r>
        <w:rPr>
          <w:b w:val="0"/>
          <w:i w:val="0"/>
          <w:sz w:val="24"/>
          <w:u w:val="none"/>
        </w:rPr>
        <w:t xml:space="preserve">the financial statements</w:t>
      </w:r>
      <w:r>
        <w:rPr>
          <w:b w:val="0"/>
          <w:i w:val="0"/>
          <w:sz w:val="24"/>
          <w:u w:val="none"/>
        </w:rPr>
        <w:t xml:space="preserve"> as presented </w:t>
      </w:r>
      <w:r>
        <w:rPr>
          <w:b w:val="0"/>
          <w:i w:val="0"/>
          <w:sz w:val="24"/>
          <w:u w:val="none"/>
        </w:rPr>
        <w:t xml:space="preserve">correspond</w:t>
      </w:r>
      <w:r>
        <w:rPr>
          <w:b w:val="0"/>
          <w:i w:val="0"/>
          <w:sz w:val="24"/>
          <w:u w:val="none"/>
        </w:rPr>
        <w:t xml:space="preserve"> with our understanding of </w:t>
      </w:r>
      <w:r>
        <w:rPr>
          <w:b w:val="0"/>
          <w:i w:val="0"/>
          <w:sz w:val="24"/>
          <w:u w:val="none"/>
        </w:rPr>
        <w:t xml:space="preserve">... (naam entiteit(en))</w:t>
      </w:r>
      <w:r>
        <w:rPr>
          <w:b w:val="0"/>
          <w:i w:val="0"/>
          <w:sz w:val="24"/>
          <w:u w:val="none"/>
        </w:rPr>
        <w:t xml:space="preserve">.</w:t>
      </w:r>
      <w:r>
        <w:rPr>
          <w:b w:val="0"/>
          <w:i w:val="0"/>
          <w:sz w:val="24"/>
          <w:u w:val="none"/>
        </w:rPr>
        <w:t xml:space="preserve"> </w:t>
      </w:r>
    </w:p>
    <w:p>
      <w:pPr>
        <w:spacing w:after="241" w:line="288" w:lineRule="exact"/>
        <w:ind/>
      </w:pPr>
      <w:r>
        <w:rPr>
          <w:b w:val="0"/>
          <w:i w:val="0"/>
          <w:sz w:val="24"/>
          <w:u w:val="none"/>
        </w:rPr>
        <w:t xml:space="preserve">We have not performed any audit or review procedures which would enable us to express an opinion or a conclusion as to the fair presentation of the financial statements.</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During this engagement we have complied with the relevant ethical requirements prescribed by the 'Verordening Gedrags- en Beroepsregels Accountants' (VGBA, Dutch Code of Ethics for Professional Accountants). You and other users of </w:t>
      </w:r>
      <w:r>
        <w:rPr>
          <w:b w:val="0"/>
          <w:i w:val="0"/>
          <w:sz w:val="24"/>
          <w:u w:val="none"/>
        </w:rPr>
        <w:t xml:space="preserve">these financial statements</w:t>
      </w:r>
      <w:r>
        <w:rPr>
          <w:b w:val="0"/>
          <w:i w:val="0"/>
          <w:sz w:val="24"/>
          <w:u w:val="none"/>
        </w:rPr>
        <w:t xml:space="preserve"> may therefore assume that we have conducted the engagement in a professional, competent and objective manner and with due care and integrity and that we will treat all information provided to us as confidential.</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draw attention to the going concern section in the notes [</w:t>
      </w:r>
      <w:r>
        <w:rPr>
          <w:b w:val="0"/>
          <w:i/>
          <w:sz w:val="24"/>
          <w:u w:val="none"/>
        </w:rPr>
        <w:t xml:space="preserve">optioneel: on page ...</w:t>
      </w:r>
      <w:r>
        <w:rPr>
          <w:b w:val="0"/>
          <w:i w:val="0"/>
          <w:sz w:val="24"/>
          <w:u w:val="none"/>
        </w:rPr>
        <w:t xml:space="preserve">] of the financial statements which indicates that the company [</w:t>
      </w:r>
      <w:r>
        <w:rPr>
          <w:b w:val="0"/>
          <w:i/>
          <w:sz w:val="24"/>
          <w:u w:val="none"/>
        </w:rPr>
        <w:t xml:space="preserve">omstandigheden benoemen, bijvoorbeeld: depends on a future positive result development and the willingness of the bank to continue its financing</w:t>
      </w:r>
      <w:r>
        <w:rPr>
          <w:b w:val="0"/>
          <w:i w:val="0"/>
          <w:sz w:val="24"/>
          <w:u w:val="none"/>
        </w:rPr>
        <w:t xml:space="preserve">.] These conditions indicate the existence of a material uncertainty which may cast significant doubt about the company's ability to continue as a going concern.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For further information on the nature and scope of a compilation engagement and the VGBA we refer you to www.nba.nl/uitleg-samenstellingsverklaring.</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voor een gebroken boekjaar: for the year then ended.</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Deze passage kan vervallen bij micro-entiteiten</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Invullen de van toepassing zijnde grondslagen van financiële verslaggeving.</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Facultatief</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Facultatief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2025-01-15T14:48:15Z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